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rtl w:val="0"/>
        </w:rPr>
        <w:t xml:space="preserve">Monkey </w:t>
      </w:r>
      <w:r w:rsidDel="00000000" w:rsidR="00000000" w:rsidRPr="00000000">
        <w:rPr>
          <w:rFonts w:ascii="Arial" w:cs="Arial" w:eastAsia="Arial" w:hAnsi="Arial"/>
          <w:b w:val="1"/>
          <w:sz w:val="22"/>
          <w:szCs w:val="22"/>
          <w:highlight w:val="white"/>
          <w:rtl w:val="0"/>
        </w:rPr>
        <w:t xml:space="preserve">Primary Cardiomyocytes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MK-6368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M6368</w:t>
        <w:tab/>
        <w:tab/>
        <w:t xml:space="preserve">Cardiomyocytes medium/w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Cardiomyocytes were derived from the hearts of Cynomolgus Monkey and cultured using Cell Biologics cell culture medium in tissue culture flasks or plates pre-coated with gelatin solution and fibronectin. Cells at passage 0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Upon request, beating cardiomyocytes can be delivered for use in experiments. The cells show a typical elongated and flattened morphology under light microscopy. Cells are tested for expression of cardiomyocyte markers using antibody cardiac Troponin I (cTnI, Catalog No. ab47003, from Abcam) or Myosin heavy chain (Catalog No. MA5-35613, from Thermofisher. Scientific) by immunofluorescence staining. These cells are negative for bacteria, yeast, fungi, and mycoplasma. Repeated freezing and thawing of cells is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Upon request, beating cardiomyocytes can be delivered for use in experiments. Primary cells should never be stored in a -20°C or -80°C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Cardiomyocytes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uOXBeiW5XboIiZkqlQ4jlam1sg==">CgMxLjA4AHIhMXl5U1RpRV9HMlRucTFCbkY2RXI0Tlh4SVhNY3R3aUtN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