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Canine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Cardiomyocytes were derived from the hearts of newborn beagle dogs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Cardiomyocytes</w:t>
      </w:r>
      <w:r w:rsidDel="00000000" w:rsidR="00000000" w:rsidRPr="00000000">
        <w:rPr>
          <w:rFonts w:ascii="Arial" w:cs="Arial" w:eastAsia="Arial" w:hAnsi="Arial"/>
          <w:sz w:val="22"/>
          <w:szCs w:val="22"/>
          <w:rtl w:val="0"/>
        </w:rPr>
        <w:t xml:space="preserve">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5rFMXW5EDCbOfpAP/28o07xPsg==">CgMxLjA4AHIhMXBGbUEtRGJWbmtEZlVJTHNaMTVDU3hIbjhyVlVidFlO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