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Cardiomyocytes were derived from the hearts of pathogen-free laboratory mice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bfH4Gg7HSgjdA+aBT7O0hq8w==">CgMxLjA4AHIhMWFEUGwwLTNNYjBCZTB3aUtwdnI3cmxuYzNMMkIxR194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