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Brain Vascular Smooth Muscle Cells from Cell Biologics are isolated from the brain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Brain Vascular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IuD5K0oimv/bYI20DQ9+fLnVkg==">CgMxLjA4AHIhMS1RUF9xZS03SXdrdmFqNE9hbUl1QnBtU3o4aVoyYUNf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2023-02-15T22:42:00Z</dcterms:created>
  <dc:creator>Jeanne Chang</dc:creator>
</cp:coreProperties>
</file>