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4673600</wp:posOffset>
                </wp:positionH>
                <wp:positionV relativeFrom="paragraph">
                  <wp:posOffset>-152399</wp:posOffset>
                </wp:positionV>
                <wp:extent cx="1941830" cy="420370"/>
                <wp:effectExtent b="0" l="0" r="0" t="0"/>
                <wp:wrapNone/>
                <wp:docPr id="23"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4673600</wp:posOffset>
                </wp:positionH>
                <wp:positionV relativeFrom="paragraph">
                  <wp:posOffset>-152399</wp:posOffset>
                </wp:positionV>
                <wp:extent cx="1941830" cy="420370"/>
                <wp:effectExtent b="0" l="0" r="0" t="0"/>
                <wp:wrapNone/>
                <wp:docPr id="2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41830" cy="420370"/>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right="-720"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Rat Primary Skeletal Muscle Cells  </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RN-6167</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M1261 Complete Skeletal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Rat Primary Skeletal Muscle Cells from Cell Biologics are isolated from the skeletal muscle tissues of neonatal Sprague–Dawley rats and grown in gelatin pre-coated tissues culture flasks with Cell Biologics’ Complete Growth </w:t>
      </w:r>
      <w:r w:rsidDel="00000000" w:rsidR="00000000" w:rsidRPr="00000000">
        <w:rPr>
          <w:rFonts w:ascii="Arial" w:cs="Arial" w:eastAsia="Arial" w:hAnsi="Arial"/>
          <w:color w:val="000000"/>
          <w:sz w:val="22"/>
          <w:szCs w:val="22"/>
          <w:rtl w:val="0"/>
        </w:rPr>
        <w:t xml:space="preserve">Medium</w:t>
      </w:r>
      <w:r w:rsidDel="00000000" w:rsidR="00000000" w:rsidRPr="00000000">
        <w:rPr>
          <w:rFonts w:ascii="Arial" w:cs="Arial" w:eastAsia="Arial" w:hAnsi="Arial"/>
          <w:sz w:val="22"/>
          <w:szCs w:val="22"/>
          <w:rtl w:val="0"/>
        </w:rPr>
        <w:t xml:space="preserve">. Cells at passage 2-3 are harvested from flasks and cryo-preserved in vials. Each vial contains 1x10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Rat Primary Skeletal Muscle Cells are characterized by immunofluorescence staining with α-smooth muscle actin antibody (A2547, Sigma) and are negative for bacteria, yeast, fungi, and mycoplasma. These cells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D">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F">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0">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Rat Primary Skeletal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2">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3">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Investigators should handle the cells with caution and treat all animal cells as potential pathogens, since no test procedure can completely guarantee the absence of infectious agents.</w:t>
      </w:r>
    </w:p>
    <w:p w:rsidR="00000000" w:rsidDel="00000000" w:rsidP="00000000" w:rsidRDefault="00000000" w:rsidRPr="00000000" w14:paraId="00000014">
      <w:pPr>
        <w:ind w:right="-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6">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7">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-898520</wp:posOffset>
          </wp:positionH>
          <wp:positionV relativeFrom="paragraph">
            <wp:posOffset>-240026</wp:posOffset>
          </wp:positionV>
          <wp:extent cx="7746285" cy="1028700"/>
          <wp:effectExtent b="0" l="0" r="0" t="0"/>
          <wp:wrapNone/>
          <wp:docPr descr="Background pattern&#10;&#10;Description automatically generated with low confidence" id="25"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-3295645</wp:posOffset>
          </wp:positionH>
          <wp:positionV relativeFrom="paragraph">
            <wp:posOffset>-380996</wp:posOffset>
          </wp:positionV>
          <wp:extent cx="7772400" cy="1047750"/>
          <wp:effectExtent b="0" l="0" r="0" t="0"/>
          <wp:wrapNone/>
          <wp:docPr id="24" name="image1.png"/>
          <a:graphic>
            <a:graphicData uri="http://schemas.openxmlformats.org/drawingml/2006/picture">
              <pic:pic>
                <pic:nvPicPr>
                  <pic:cNvPr id="0" name="image1.png"/>
                  <pic:cNvPicPr preferRelativeResize="0"/>
                </pic:nvPicPr>
                <pic:blipFill>
                  <a:blip r:embed="rId1"/>
                  <a:srcRect b="89583"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PUXqcZv997G9vY0nI/ZQTkpYEg==">CgMxLjA4AHIhMThUNFNhcEM2TVFDUlE2bHhhYV8wVEhNUEt6LUZSVFU2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2022-10-20T21:45:00Z</dcterms:created>
  <dc:creator>Jeanne Chang</dc:creator>
</cp:coreProperties>
</file>