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Tracheal Smooth Muscle Cells from Cell Biologics are isolated from tracheal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Tracheal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-240020</wp:posOffset>
          </wp:positionV>
          <wp:extent cx="7746285" cy="1028700"/>
          <wp:effectExtent b="0" l="0" r="0" t="0"/>
          <wp:wrapNone/>
          <wp:docPr descr="Background pattern&#10;&#10;Description automatically generated with low confidence" id="39"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-3295639</wp:posOffset>
          </wp:positionH>
          <wp:positionV relativeFrom="paragraph">
            <wp:posOffset>-380991</wp:posOffset>
          </wp:positionV>
          <wp:extent cx="7772400" cy="1047750"/>
          <wp:effectExtent b="0" l="0" r="0" t="0"/>
          <wp:wrapNone/>
          <wp:docPr id="4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fOwXtDa8JIAQNDElUn6pX+907A==">CgMxLjAyCGguZ2pkZ3hzOAByITEtSkNvYVV3SGVHNEJlU0dLOEhrZGdzQkUzR1FKYmhGNQ==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2023-02-13T16:59:00Z</dcterms:created>
  <dc:creator>Jeanne Chang</dc:creator>
</cp:coreProperties>
</file>