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Pulmonary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Pulmonary Artery Smooth Muscle Cells from Cell Biologics are isolated from pulmonary artery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Pulmonary Artery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mG8uTYrt4fXPgBKan4db1GnZQQ==">CgMxLjAyCGguZ2pkZ3hzOAByITE3N2JGelJUUTFPNnFIUEx5R29odWVmY0syU1B4eEZrSQ==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2023-02-14T21:18:00Z</dcterms:created>
  <dc:creator>Jeanne Chang</dc:creator>
</cp:coreProperties>
</file>