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Colonic Smooth Muscle Cells from Cell Biologics are isolated from the colonic tissue of pathogen-free laboratory C57BL/6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cells per ml and is delivered </w:t>
      </w:r>
      <w:r w:rsidDel="00000000" w:rsidR="00000000" w:rsidRPr="00000000">
        <w:rPr>
          <w:rFonts w:ascii="Arial" w:cs="Arial" w:eastAsia="Arial" w:hAnsi="Arial"/>
          <w:sz w:val="22"/>
          <w:szCs w:val="22"/>
          <w:rtl w:val="0"/>
        </w:rPr>
        <w:t xml:space="preserve">frozen. Immortalized Mouse Primary Colonic Smooth Muscle Cells are characterized by</w:t>
      </w:r>
      <w:r w:rsidDel="00000000" w:rsidR="00000000" w:rsidRPr="00000000">
        <w:rPr>
          <w:rFonts w:ascii="Arial" w:cs="Arial" w:eastAsia="Arial" w:hAnsi="Arial"/>
          <w:sz w:val="22"/>
          <w:szCs w:val="22"/>
          <w:rtl w:val="0"/>
        </w:rPr>
        <w:t xml:space="preserve"> immunofluorescence staining with α-smooth muscle actin antibody (A2547, Sigma). </w:t>
      </w:r>
      <w:r w:rsidDel="00000000" w:rsidR="00000000" w:rsidRPr="00000000">
        <w:rPr>
          <w:rFonts w:ascii="Arial" w:cs="Arial" w:eastAsia="Arial" w:hAnsi="Arial"/>
          <w:sz w:val="22"/>
          <w:szCs w:val="22"/>
          <w:rtl w:val="0"/>
        </w:rPr>
        <w:t xml:space="preserve">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idyGdpzA+le3JN5TlDAHJrzXw==">CgMxLjA4AHIhMXIzb210RDlUVV9SdGY1QVpfMnV4dUItWDRLNDNnZWpV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2022-10-20T16:16:00Z</dcterms:created>
  <dc:creator>Jeanne Chang</dc:creator>
</cp:coreProperties>
</file>