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Stomach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ciQurXe8BXkGF82RgK9hkN/SQ==">CgMxLjA4AHIhMTM4ZF9QcVREcDgxeGp0YzRFd3pyMVVkS3p6b2lSWG1s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2022-10-20T19:21:00Z</dcterms:created>
  <dc:creator>Jeanne Chang</dc:creator>
</cp:coreProperties>
</file>