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Pulmonary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Pulmonary Vein Smooth Muscle Cells from Cell Biologics are isolated from the pulmonary vein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highlight w:val="white"/>
          <w:rtl w:val="0"/>
        </w:rPr>
        <w:t xml:space="preserve">-Expressing  Mouse Primary Pulmonary Vein Smooth Muscle Cells are characterized by immunofluorescent stainingimmunofluorescence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tVvY6sszYdeL0nwNoUQvUAukg==">CgMxLjA4AHIhMXY5ZWI0eGh3ZUd6bGRfMmw5SUlYZ2lUaFhJdmtvVzgw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2022-10-20T19:24:00Z</dcterms:created>
  <dc:creator>Jeanne Chang</dc:creator>
</cp:coreProperties>
</file>