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C57BL/6 Mouse Primary </w:t>
      </w:r>
      <w:r w:rsidDel="00000000" w:rsidR="00000000" w:rsidRPr="00000000">
        <w:rPr>
          <w:rFonts w:ascii="Arial" w:cs="Arial" w:eastAsia="Arial" w:hAnsi="Arial"/>
          <w:b w:val="1"/>
          <w:sz w:val="22"/>
          <w:szCs w:val="22"/>
          <w:highlight w:val="yellow"/>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highlight w:val="white"/>
          <w:rtl w:val="0"/>
        </w:rPr>
        <w:t xml:space="preserve">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bkTg2hWG40N2b6qrPimclJfGg==">CgMxLjA4AHIhMTF2Rzg4cnJnT0RQSWtCT09lQUwzQmRtaWRyeGx3UVZL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2022-10-19T21:22:00Z</dcterms:created>
  <dc:creator>Jeanne Chang</dc:creator>
</cp:coreProperties>
</file>