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left="-720" w:righ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________________________________________________________________________________________</w:t>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4660900</wp:posOffset>
                </wp:positionH>
                <wp:positionV relativeFrom="paragraph">
                  <wp:posOffset>-152399</wp:posOffset>
                </wp:positionV>
                <wp:extent cx="1951355" cy="429895"/>
                <wp:effectExtent b="0" l="0" r="0" t="0"/>
                <wp:wrapNone/>
                <wp:docPr id="26" name=""/>
                <a:graphic>
                  <a:graphicData uri="http://schemas.microsoft.com/office/word/2010/wordprocessingShape">
                    <wps:wsp>
                      <wps:cNvSpPr/>
                      <wps:cNvPr id="2" name="Shape 2"/>
                      <wps:spPr>
                        <a:xfrm>
                          <a:off x="4394135" y="3588865"/>
                          <a:ext cx="1903730" cy="38227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0"/>
                                <w:smallCaps w:val="0"/>
                                <w:strike w:val="0"/>
                                <w:color w:val="000000"/>
                                <w:sz w:val="24"/>
                                <w:vertAlign w:val="baseline"/>
                              </w:rPr>
                              <w:t xml:space="preserve">For Research Use Only</w:t>
                            </w:r>
                          </w:p>
                        </w:txbxContent>
                      </wps:txbx>
                      <wps:bodyPr anchorCtr="0" anchor="t" bIns="40225" lIns="80450" spcFirstLastPara="1" rIns="80450" wrap="square" tIns="40225">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4660900</wp:posOffset>
                </wp:positionH>
                <wp:positionV relativeFrom="paragraph">
                  <wp:posOffset>-152399</wp:posOffset>
                </wp:positionV>
                <wp:extent cx="1951355" cy="429895"/>
                <wp:effectExtent b="0" l="0" r="0" t="0"/>
                <wp:wrapNone/>
                <wp:docPr id="26" name="image3.png"/>
                <a:graphic>
                  <a:graphicData uri="http://schemas.openxmlformats.org/drawingml/2006/picture">
                    <pic:pic>
                      <pic:nvPicPr>
                        <pic:cNvPr id="0" name="image3.png"/>
                        <pic:cNvPicPr preferRelativeResize="0"/>
                      </pic:nvPicPr>
                      <pic:blipFill>
                        <a:blip r:embed="rId7"/>
                        <a:srcRect/>
                        <a:stretch>
                          <a:fillRect/>
                        </a:stretch>
                      </pic:blipFill>
                      <pic:spPr>
                        <a:xfrm>
                          <a:off x="0" y="0"/>
                          <a:ext cx="1951355" cy="429895"/>
                        </a:xfrm>
                        <a:prstGeom prst="rect"/>
                        <a:ln/>
                      </pic:spPr>
                    </pic:pic>
                  </a:graphicData>
                </a:graphic>
              </wp:anchor>
            </w:drawing>
          </mc:Fallback>
        </mc:AlternateContent>
      </w:r>
    </w:p>
    <w:p w:rsidR="00000000" w:rsidDel="00000000" w:rsidP="00000000" w:rsidRDefault="00000000" w:rsidRPr="00000000" w14:paraId="00000002">
      <w:pPr>
        <w:ind w:left="-720" w:firstLine="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3">
      <w:pPr>
        <w:ind w:lef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RFP-Expressing Human </w:t>
      </w:r>
      <w:r w:rsidDel="00000000" w:rsidR="00000000" w:rsidRPr="00000000">
        <w:rPr>
          <w:rFonts w:ascii="Arial" w:cs="Arial" w:eastAsia="Arial" w:hAnsi="Arial"/>
          <w:b w:val="1"/>
          <w:sz w:val="22"/>
          <w:szCs w:val="22"/>
          <w:rtl w:val="0"/>
        </w:rPr>
        <w:t xml:space="preserve">Primary Diabetic</w:t>
      </w:r>
      <w:r w:rsidDel="00000000" w:rsidR="00000000" w:rsidRPr="00000000">
        <w:rPr>
          <w:rFonts w:ascii="Arial" w:cs="Arial" w:eastAsia="Arial" w:hAnsi="Arial"/>
          <w:b w:val="1"/>
          <w:sz w:val="22"/>
          <w:szCs w:val="22"/>
          <w:rtl w:val="0"/>
        </w:rPr>
        <w:t xml:space="preserve"> Colonic Smooth Muscle Cells  </w:t>
      </w:r>
    </w:p>
    <w:p w:rsidR="00000000" w:rsidDel="00000000" w:rsidP="00000000" w:rsidRDefault="00000000" w:rsidRPr="00000000" w14:paraId="00000004">
      <w:pPr>
        <w:ind w:left="-720" w:righ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Catalog No.</w:t>
        <w:tab/>
        <w:t xml:space="preserve">HD2-6001RFP</w:t>
      </w:r>
    </w:p>
    <w:p w:rsidR="00000000" w:rsidDel="00000000" w:rsidP="00000000" w:rsidRDefault="00000000" w:rsidRPr="00000000" w14:paraId="00000005">
      <w:pPr>
        <w:ind w:left="-720" w:right="-72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6">
      <w:pPr>
        <w:ind w:left="-720" w:righ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Suggested Medium</w:t>
      </w:r>
    </w:p>
    <w:p w:rsidR="00000000" w:rsidDel="00000000" w:rsidP="00000000" w:rsidRDefault="00000000" w:rsidRPr="00000000" w14:paraId="00000007">
      <w:pPr>
        <w:ind w:left="-720" w:righ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M2268</w:t>
        <w:tab/>
        <w:tab/>
        <w:t xml:space="preserve">Complete Smooth Muscle Cell Medium w/ Kit – 500 ml</w:t>
      </w:r>
    </w:p>
    <w:p w:rsidR="00000000" w:rsidDel="00000000" w:rsidP="00000000" w:rsidRDefault="00000000" w:rsidRPr="00000000" w14:paraId="00000008">
      <w:pPr>
        <w:ind w:left="-720" w:right="-72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9">
      <w:pPr>
        <w:ind w:left="-720" w:righ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Product Description</w:t>
      </w:r>
    </w:p>
    <w:p w:rsidR="00000000" w:rsidDel="00000000" w:rsidP="00000000" w:rsidRDefault="00000000" w:rsidRPr="00000000" w14:paraId="0000000A">
      <w:pPr>
        <w:ind w:left="-720" w:righ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RFP-Expressing Human </w:t>
      </w:r>
      <w:r w:rsidDel="00000000" w:rsidR="00000000" w:rsidRPr="00000000">
        <w:rPr>
          <w:rFonts w:ascii="Arial" w:cs="Arial" w:eastAsia="Arial" w:hAnsi="Arial"/>
          <w:sz w:val="22"/>
          <w:szCs w:val="22"/>
          <w:rtl w:val="0"/>
        </w:rPr>
        <w:t xml:space="preserve">Primary Diabetic</w:t>
      </w:r>
      <w:r w:rsidDel="00000000" w:rsidR="00000000" w:rsidRPr="00000000">
        <w:rPr>
          <w:rFonts w:ascii="Arial" w:cs="Arial" w:eastAsia="Arial" w:hAnsi="Arial"/>
          <w:sz w:val="22"/>
          <w:szCs w:val="22"/>
          <w:rtl w:val="0"/>
        </w:rPr>
        <w:t xml:space="preserve"> Colonic Smooth Muscle Cells from Cell Biologics are isolated from colonic tissue of human donors that have been diagnosed with diabetes type II disease. Cells are grown in gelatin pre-coated tissue culture</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sz w:val="22"/>
          <w:szCs w:val="22"/>
          <w:rtl w:val="0"/>
        </w:rPr>
        <w:t xml:space="preserve">flasks</w:t>
      </w:r>
      <w:r w:rsidDel="00000000" w:rsidR="00000000" w:rsidRPr="00000000">
        <w:rPr>
          <w:rFonts w:ascii="Arial" w:cs="Arial" w:eastAsia="Arial" w:hAnsi="Arial"/>
          <w:sz w:val="22"/>
          <w:szCs w:val="22"/>
          <w:rtl w:val="0"/>
        </w:rPr>
        <w:t xml:space="preserve"> with Cell Biologics’ Complete Growth Medium. Cells at passage 2-3 are harvested from flasks and cryo-preserved in vials. Each vial contains 0.5x10</w:t>
      </w:r>
      <w:r w:rsidDel="00000000" w:rsidR="00000000" w:rsidRPr="00000000">
        <w:rPr>
          <w:rFonts w:ascii="Arial" w:cs="Arial" w:eastAsia="Arial" w:hAnsi="Arial"/>
          <w:sz w:val="22"/>
          <w:szCs w:val="22"/>
          <w:vertAlign w:val="superscript"/>
          <w:rtl w:val="0"/>
        </w:rPr>
        <w:t xml:space="preserve">6</w:t>
      </w:r>
      <w:r w:rsidDel="00000000" w:rsidR="00000000" w:rsidRPr="00000000">
        <w:rPr>
          <w:rFonts w:ascii="Arial" w:cs="Arial" w:eastAsia="Arial" w:hAnsi="Arial"/>
          <w:sz w:val="22"/>
          <w:szCs w:val="22"/>
          <w:rtl w:val="0"/>
        </w:rPr>
        <w:t xml:space="preserve"> cells per ml and is delivered frozen. </w:t>
      </w:r>
      <w:r w:rsidDel="00000000" w:rsidR="00000000" w:rsidRPr="00000000">
        <w:rPr>
          <w:rFonts w:ascii="Arial" w:cs="Arial" w:eastAsia="Arial" w:hAnsi="Arial"/>
          <w:sz w:val="22"/>
          <w:szCs w:val="22"/>
          <w:rtl w:val="0"/>
        </w:rPr>
        <w:t xml:space="preserve">Cells are characterized</w:t>
      </w:r>
      <w:r w:rsidDel="00000000" w:rsidR="00000000" w:rsidRPr="00000000">
        <w:rPr>
          <w:rFonts w:ascii="Arial" w:cs="Arial" w:eastAsia="Arial" w:hAnsi="Arial"/>
          <w:sz w:val="22"/>
          <w:szCs w:val="22"/>
          <w:rtl w:val="0"/>
        </w:rPr>
        <w:t xml:space="preserve"> by immunofluorescence staining </w:t>
      </w:r>
      <w:r w:rsidDel="00000000" w:rsidR="00000000" w:rsidRPr="00000000">
        <w:rPr>
          <w:rFonts w:ascii="Arial" w:cs="Arial" w:eastAsia="Arial" w:hAnsi="Arial"/>
          <w:sz w:val="22"/>
          <w:szCs w:val="22"/>
          <w:rtl w:val="0"/>
        </w:rPr>
        <w:t xml:space="preserve">with α-smooth muscle actin antibody (A2547, Sigma).</w:t>
      </w:r>
      <w:r w:rsidDel="00000000" w:rsidR="00000000" w:rsidRPr="00000000">
        <w:rPr>
          <w:rFonts w:ascii="Arial" w:cs="Arial" w:eastAsia="Arial" w:hAnsi="Arial"/>
          <w:sz w:val="22"/>
          <w:szCs w:val="22"/>
          <w:rtl w:val="0"/>
        </w:rPr>
        <w:t xml:space="preserve"> These cells are negative for mycoplasma, bacteria, yeast, fungi, HIV-1, hepatitis B and hepatitis C and can be expanded for </w:t>
      </w:r>
      <w:r w:rsidDel="00000000" w:rsidR="00000000" w:rsidRPr="00000000">
        <w:rPr>
          <w:rFonts w:ascii="Arial" w:cs="Arial" w:eastAsia="Arial" w:hAnsi="Arial"/>
          <w:sz w:val="22"/>
          <w:szCs w:val="22"/>
          <w:rtl w:val="0"/>
        </w:rPr>
        <w:t xml:space="preserve">3-5 passages</w:t>
      </w:r>
      <w:r w:rsidDel="00000000" w:rsidR="00000000" w:rsidRPr="00000000">
        <w:rPr>
          <w:rFonts w:ascii="Arial" w:cs="Arial" w:eastAsia="Arial" w:hAnsi="Arial"/>
          <w:sz w:val="22"/>
          <w:szCs w:val="22"/>
          <w:rtl w:val="0"/>
        </w:rPr>
        <w:t xml:space="preserve"> at a split ratio of 1:2 under the cell culture conditions specified by Cell Biologics. Repeated freezing and thawing of cells are not recommended.</w:t>
      </w:r>
    </w:p>
    <w:p w:rsidR="00000000" w:rsidDel="00000000" w:rsidP="00000000" w:rsidRDefault="00000000" w:rsidRPr="00000000" w14:paraId="0000000B">
      <w:pPr>
        <w:ind w:left="-720" w:right="-720" w:firstLine="0"/>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C">
      <w:pPr>
        <w:ind w:left="-720" w:righ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Red Fluorescent Protein (RFP), a mutant form of green fluorescent protein, gives rise to very bright red fluorescence when exposed to yellow-green light. Cell Biologics generates various RFP-expressing stable cells. RFP-expressing cells were developed through transducing RFP-lentiviral particles.</w:t>
      </w:r>
    </w:p>
    <w:p w:rsidR="00000000" w:rsidDel="00000000" w:rsidP="00000000" w:rsidRDefault="00000000" w:rsidRPr="00000000" w14:paraId="0000000D">
      <w:pPr>
        <w:ind w:left="-720" w:right="-720" w:firstLine="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0E">
      <w:pPr>
        <w:ind w:left="-720" w:righ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Storage</w:t>
      </w:r>
    </w:p>
    <w:p w:rsidR="00000000" w:rsidDel="00000000" w:rsidP="00000000" w:rsidRDefault="00000000" w:rsidRPr="00000000" w14:paraId="0000000F">
      <w:pPr>
        <w:ind w:left="-720" w:righ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Cryopreserved cells are shipped with dry ice overnight. Upon arrival, transfer frozen cells to liquid nitrogen (-180°C) immediately until ready for use. Live cell shipment is also available on request. </w:t>
      </w:r>
      <w:r w:rsidDel="00000000" w:rsidR="00000000" w:rsidRPr="00000000">
        <w:rPr>
          <w:rFonts w:ascii="Arial" w:cs="Arial" w:eastAsia="Arial" w:hAnsi="Arial"/>
          <w:sz w:val="22"/>
          <w:szCs w:val="22"/>
          <w:rtl w:val="0"/>
        </w:rPr>
        <w:t xml:space="preserve">Primary cells</w:t>
      </w:r>
      <w:r w:rsidDel="00000000" w:rsidR="00000000" w:rsidRPr="00000000">
        <w:rPr>
          <w:rFonts w:ascii="Arial" w:cs="Arial" w:eastAsia="Arial" w:hAnsi="Arial"/>
          <w:sz w:val="22"/>
          <w:szCs w:val="22"/>
          <w:rtl w:val="0"/>
        </w:rPr>
        <w:t xml:space="preserve"> can never be kept at -20 °C or -80 °C freezer.</w:t>
      </w:r>
    </w:p>
    <w:p w:rsidR="00000000" w:rsidDel="00000000" w:rsidP="00000000" w:rsidRDefault="00000000" w:rsidRPr="00000000" w14:paraId="00000010">
      <w:pPr>
        <w:ind w:left="-720" w:right="-720" w:firstLine="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1">
      <w:pPr>
        <w:ind w:left="-720" w:righ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Authorized Uses of Cell Biologics’ Products</w:t>
      </w:r>
    </w:p>
    <w:p w:rsidR="00000000" w:rsidDel="00000000" w:rsidP="00000000" w:rsidRDefault="00000000" w:rsidRPr="00000000" w14:paraId="00000012">
      <w:pPr>
        <w:ind w:left="-720" w:righ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RFP-Expressing Human </w:t>
      </w:r>
      <w:r w:rsidDel="00000000" w:rsidR="00000000" w:rsidRPr="00000000">
        <w:rPr>
          <w:rFonts w:ascii="Arial" w:cs="Arial" w:eastAsia="Arial" w:hAnsi="Arial"/>
          <w:sz w:val="22"/>
          <w:szCs w:val="22"/>
          <w:rtl w:val="0"/>
        </w:rPr>
        <w:t xml:space="preserve">Primary Diabetic</w:t>
      </w:r>
      <w:r w:rsidDel="00000000" w:rsidR="00000000" w:rsidRPr="00000000">
        <w:rPr>
          <w:rFonts w:ascii="Arial" w:cs="Arial" w:eastAsia="Arial" w:hAnsi="Arial"/>
          <w:sz w:val="22"/>
          <w:szCs w:val="22"/>
          <w:rtl w:val="0"/>
        </w:rPr>
        <w:t xml:space="preserve"> Colonic Smooth Muscle Cells from Cell Biologics are distributed for research purposes only. Our products are not authorized for human use, for in vitro diagnostic or therapeutic procedures. Transfer or resale of any Cell Biologics’ cells or products from the purchaser to other markets, organizations or individuals is prohibited by Cell Biologics without the company’s written consent. Cell Biologics’ Terms and Conditions must be accepted before submitting an order.</w:t>
      </w:r>
    </w:p>
    <w:p w:rsidR="00000000" w:rsidDel="00000000" w:rsidP="00000000" w:rsidRDefault="00000000" w:rsidRPr="00000000" w14:paraId="00000013">
      <w:pPr>
        <w:ind w:left="-720" w:right="-720" w:firstLine="0"/>
        <w:jc w:val="both"/>
        <w:rPr>
          <w:rFonts w:ascii="Arial" w:cs="Arial" w:eastAsia="Arial" w:hAnsi="Arial"/>
          <w:b w:val="1"/>
          <w:sz w:val="22"/>
          <w:szCs w:val="22"/>
        </w:rPr>
      </w:pPr>
      <w:bookmarkStart w:colFirst="0" w:colLast="0" w:name="_heading=h.gjdgxs" w:id="0"/>
      <w:bookmarkEnd w:id="0"/>
      <w:r w:rsidDel="00000000" w:rsidR="00000000" w:rsidRPr="00000000">
        <w:rPr>
          <w:rtl w:val="0"/>
        </w:rPr>
      </w:r>
    </w:p>
    <w:p w:rsidR="00000000" w:rsidDel="00000000" w:rsidP="00000000" w:rsidRDefault="00000000" w:rsidRPr="00000000" w14:paraId="00000014">
      <w:pPr>
        <w:ind w:left="-720" w:righ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Disclaimer</w:t>
      </w:r>
    </w:p>
    <w:p w:rsidR="00000000" w:rsidDel="00000000" w:rsidP="00000000" w:rsidRDefault="00000000" w:rsidRPr="00000000" w14:paraId="00000015">
      <w:pPr>
        <w:ind w:left="-720" w:right="-720" w:firstLine="0"/>
        <w:jc w:val="both"/>
        <w:rPr>
          <w:rFonts w:ascii="Arial" w:cs="Arial" w:eastAsia="Arial" w:hAnsi="Arial"/>
          <w:b w:val="1"/>
          <w:sz w:val="22"/>
          <w:szCs w:val="22"/>
        </w:rPr>
      </w:pPr>
      <w:r w:rsidDel="00000000" w:rsidR="00000000" w:rsidRPr="00000000">
        <w:rPr>
          <w:rFonts w:ascii="Arial" w:cs="Arial" w:eastAsia="Arial" w:hAnsi="Arial"/>
          <w:sz w:val="22"/>
          <w:szCs w:val="22"/>
          <w:rtl w:val="0"/>
        </w:rPr>
        <w:t xml:space="preserve">Investigators should handle the cells received from Cell Biologics with caution and treat all Primary Diabetic cells as potential pathogens, since no test procedure can completely guarantee the absence of infectious agents. The entire text of discussing Biosafety in Microbiological and Biomedical Laboratories, 5th ed. is available online at http://www.cdc.gov/biosafety/publications/bmbl5/index.htm.</w:t>
      </w:r>
      <w:r w:rsidDel="00000000" w:rsidR="00000000" w:rsidRPr="00000000">
        <w:rPr>
          <w:rtl w:val="0"/>
        </w:rPr>
      </w:r>
    </w:p>
    <w:p w:rsidR="00000000" w:rsidDel="00000000" w:rsidP="00000000" w:rsidRDefault="00000000" w:rsidRPr="00000000" w14:paraId="00000016">
      <w:pPr>
        <w:ind w:left="-720" w:right="-720" w:firstLine="0"/>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17">
      <w:pPr>
        <w:ind w:left="-720" w:right="-720" w:firstLine="0"/>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Warranty and Liability</w:t>
      </w:r>
    </w:p>
    <w:p w:rsidR="00000000" w:rsidDel="00000000" w:rsidP="00000000" w:rsidRDefault="00000000" w:rsidRPr="00000000" w14:paraId="00000018">
      <w:pPr>
        <w:ind w:left="-720" w:right="-720" w:firstLine="0"/>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Cell Biologics’ guarantee applies only to your purchase of Cell Biologics’ Cells with Cell Biologics’ Media and Coating Solution for appropriate cell culture and cell testing following Cell Biologics’ online protocols within 35 days from the date of product delivery.</w:t>
      </w:r>
    </w:p>
    <w:p w:rsidR="00000000" w:rsidDel="00000000" w:rsidP="00000000" w:rsidRDefault="00000000" w:rsidRPr="00000000" w14:paraId="00000019">
      <w:pPr>
        <w:tabs>
          <w:tab w:val="left" w:leader="none" w:pos="0"/>
        </w:tabs>
        <w:rPr/>
      </w:pPr>
      <w:r w:rsidDel="00000000" w:rsidR="00000000" w:rsidRPr="00000000">
        <w:rPr>
          <w:rtl w:val="0"/>
        </w:rPr>
      </w:r>
    </w:p>
    <w:sectPr>
      <w:headerReference r:id="rId8" w:type="default"/>
      <w:footerReference r:id="rId9"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Arial"/>
  <w:font w:name="Calibri"/>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C">
    <w:pPr>
      <w:pBdr>
        <w:top w:space="0" w:sz="0" w:val="nil"/>
        <w:left w:space="0" w:sz="0" w:val="nil"/>
        <w:bottom w:space="0" w:sz="0" w:val="nil"/>
        <w:right w:space="0" w:sz="0" w:val="nil"/>
        <w:between w:space="0" w:sz="0" w:val="nil"/>
      </w:pBdr>
      <w:tabs>
        <w:tab w:val="center" w:leader="none" w:pos="4680"/>
        <w:tab w:val="right" w:leader="none" w:pos="9360"/>
      </w:tabs>
      <w:rPr>
        <w:rFonts w:ascii="Calibri" w:cs="Calibri" w:eastAsia="Calibri" w:hAnsi="Calibri"/>
        <w:color w:val="000000"/>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-898519</wp:posOffset>
          </wp:positionH>
          <wp:positionV relativeFrom="paragraph">
            <wp:posOffset>-240024</wp:posOffset>
          </wp:positionV>
          <wp:extent cx="7746285" cy="1028700"/>
          <wp:effectExtent b="0" l="0" r="0" t="0"/>
          <wp:wrapNone/>
          <wp:docPr descr="Background pattern&#10;&#10;Description automatically generated with low confidence" id="27" name="image2.png"/>
          <a:graphic>
            <a:graphicData uri="http://schemas.openxmlformats.org/drawingml/2006/picture">
              <pic:pic>
                <pic:nvPicPr>
                  <pic:cNvPr descr="Background pattern&#10;&#10;Description automatically generated with low confidence" id="0" name="image2.png"/>
                  <pic:cNvPicPr preferRelativeResize="0"/>
                </pic:nvPicPr>
                <pic:blipFill>
                  <a:blip r:embed="rId1"/>
                  <a:srcRect b="0" l="0" r="0" t="0"/>
                  <a:stretch>
                    <a:fillRect/>
                  </a:stretch>
                </pic:blipFill>
                <pic:spPr>
                  <a:xfrm>
                    <a:off x="0" y="0"/>
                    <a:ext cx="7746285" cy="1028700"/>
                  </a:xfrm>
                  <a:prstGeom prst="rect"/>
                  <a:ln/>
                </pic:spPr>
              </pic:pic>
            </a:graphicData>
          </a:graphic>
        </wp:anchor>
      </w:drawing>
    </w:r>
  </w:p>
  <w:p w:rsidR="00000000" w:rsidDel="00000000" w:rsidP="00000000" w:rsidRDefault="00000000" w:rsidRPr="00000000" w14:paraId="0000001D">
    <w:pPr>
      <w:pBdr>
        <w:top w:space="0" w:sz="0" w:val="nil"/>
        <w:left w:space="0" w:sz="0" w:val="nil"/>
        <w:bottom w:space="0" w:sz="0" w:val="nil"/>
        <w:right w:space="0" w:sz="0" w:val="nil"/>
        <w:between w:space="0" w:sz="0" w:val="nil"/>
      </w:pBdr>
      <w:tabs>
        <w:tab w:val="center" w:leader="none" w:pos="4680"/>
        <w:tab w:val="right" w:leader="none" w:pos="9360"/>
      </w:tabs>
      <w:rPr>
        <w:rFonts w:ascii="Calibri" w:cs="Calibri" w:eastAsia="Calibri" w:hAnsi="Calibri"/>
        <w:color w:val="000000"/>
        <w:sz w:val="22"/>
        <w:szCs w:val="22"/>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1A">
    <w:pPr>
      <w:pBdr>
        <w:top w:space="0" w:sz="0" w:val="nil"/>
        <w:left w:space="0" w:sz="0" w:val="nil"/>
        <w:bottom w:space="0" w:sz="0" w:val="nil"/>
        <w:right w:space="0" w:sz="0" w:val="nil"/>
        <w:between w:space="0" w:sz="0" w:val="nil"/>
      </w:pBdr>
      <w:tabs>
        <w:tab w:val="center" w:leader="none" w:pos="4680"/>
        <w:tab w:val="right" w:leader="none" w:pos="9360"/>
        <w:tab w:val="left" w:leader="none" w:pos="8540"/>
      </w:tabs>
      <w:rPr>
        <w:rFonts w:ascii="Calibri" w:cs="Calibri" w:eastAsia="Calibri" w:hAnsi="Calibri"/>
        <w:color w:val="000000"/>
        <w:sz w:val="22"/>
        <w:szCs w:val="22"/>
      </w:rPr>
    </w:pPr>
    <w:r w:rsidDel="00000000" w:rsidR="00000000" w:rsidRPr="00000000">
      <w:rPr>
        <w:rFonts w:ascii="Calibri" w:cs="Calibri" w:eastAsia="Calibri" w:hAnsi="Calibri"/>
        <w:color w:val="000000"/>
        <w:sz w:val="22"/>
        <w:szCs w:val="22"/>
        <w:rtl w:val="0"/>
      </w:rPr>
      <w:tab/>
    </w:r>
    <w:r w:rsidDel="00000000" w:rsidR="00000000" w:rsidRPr="00000000">
      <w:drawing>
        <wp:anchor allowOverlap="1" behindDoc="1" distB="0" distT="0" distL="0" distR="0" hidden="0" layoutInCell="1" locked="0" relativeHeight="0" simplePos="0">
          <wp:simplePos x="0" y="0"/>
          <wp:positionH relativeFrom="column">
            <wp:posOffset>-3295644</wp:posOffset>
          </wp:positionH>
          <wp:positionV relativeFrom="paragraph">
            <wp:posOffset>-380995</wp:posOffset>
          </wp:positionV>
          <wp:extent cx="7772400" cy="1047750"/>
          <wp:effectExtent b="0" l="0" r="0" t="0"/>
          <wp:wrapNone/>
          <wp:docPr id="28" name="image1.png"/>
          <a:graphic>
            <a:graphicData uri="http://schemas.openxmlformats.org/drawingml/2006/picture">
              <pic:pic>
                <pic:nvPicPr>
                  <pic:cNvPr id="0" name="image1.png"/>
                  <pic:cNvPicPr preferRelativeResize="0"/>
                </pic:nvPicPr>
                <pic:blipFill>
                  <a:blip r:embed="rId1"/>
                  <a:srcRect b="89584" l="0" r="0" t="0"/>
                  <a:stretch>
                    <a:fillRect/>
                  </a:stretch>
                </pic:blipFill>
                <pic:spPr>
                  <a:xfrm>
                    <a:off x="0" y="0"/>
                    <a:ext cx="7772400" cy="1047750"/>
                  </a:xfrm>
                  <a:prstGeom prst="rect"/>
                  <a:ln/>
                </pic:spPr>
              </pic:pic>
            </a:graphicData>
          </a:graphic>
        </wp:anchor>
      </w:drawing>
    </w:r>
  </w:p>
  <w:p w:rsidR="00000000" w:rsidDel="00000000" w:rsidP="00000000" w:rsidRDefault="00000000" w:rsidRPr="00000000" w14:paraId="0000001B">
    <w:pPr>
      <w:pBdr>
        <w:top w:space="0" w:sz="0" w:val="nil"/>
        <w:left w:space="0" w:sz="0" w:val="nil"/>
        <w:bottom w:space="0" w:sz="0" w:val="nil"/>
        <w:right w:space="0" w:sz="0" w:val="nil"/>
        <w:between w:space="0" w:sz="0" w:val="nil"/>
      </w:pBdr>
      <w:tabs>
        <w:tab w:val="center" w:leader="none" w:pos="4680"/>
        <w:tab w:val="right" w:leader="none" w:pos="9360"/>
      </w:tabs>
      <w:rPr>
        <w:rFonts w:ascii="Calibri" w:cs="Calibri" w:eastAsia="Calibri" w:hAnsi="Calibri"/>
        <w:color w:val="000000"/>
        <w:sz w:val="22"/>
        <w:szCs w:val="22"/>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US"/>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qFormat w:val="1"/>
    <w:rsid w:val="00455F05"/>
    <w:rPr>
      <w:rFonts w:eastAsia="SimSun"/>
    </w:rPr>
  </w:style>
  <w:style w:type="paragraph" w:styleId="Heading1">
    <w:name w:val="heading 1"/>
    <w:basedOn w:val="Normal"/>
    <w:next w:val="Normal"/>
    <w:uiPriority w:val="9"/>
    <w:qFormat w:val="1"/>
    <w:pPr>
      <w:keepNext w:val="1"/>
      <w:keepLines w:val="1"/>
      <w:spacing w:after="120" w:before="480"/>
      <w:outlineLvl w:val="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after="120" w:before="480"/>
    </w:pPr>
    <w:rPr>
      <w:b w:val="1"/>
      <w:sz w:val="72"/>
      <w:szCs w:val="72"/>
    </w:rPr>
  </w:style>
  <w:style w:type="paragraph" w:styleId="Header">
    <w:name w:val="header"/>
    <w:basedOn w:val="Normal"/>
    <w:link w:val="HeaderChar"/>
    <w:uiPriority w:val="99"/>
    <w:unhideWhenUsed w:val="1"/>
    <w:rsid w:val="00AD0C49"/>
    <w:pPr>
      <w:tabs>
        <w:tab w:val="center" w:pos="4680"/>
        <w:tab w:val="right" w:pos="9360"/>
      </w:tabs>
    </w:pPr>
    <w:rPr>
      <w:rFonts w:asciiTheme="minorHAnsi" w:cstheme="minorBidi" w:eastAsiaTheme="minorHAnsi" w:hAnsiTheme="minorHAnsi"/>
      <w:sz w:val="22"/>
      <w:szCs w:val="22"/>
    </w:rPr>
  </w:style>
  <w:style w:type="character" w:styleId="HeaderChar" w:customStyle="1">
    <w:name w:val="Header Char"/>
    <w:basedOn w:val="DefaultParagraphFont"/>
    <w:link w:val="Header"/>
    <w:uiPriority w:val="99"/>
    <w:rsid w:val="00AD0C49"/>
  </w:style>
  <w:style w:type="paragraph" w:styleId="Footer">
    <w:name w:val="footer"/>
    <w:basedOn w:val="Normal"/>
    <w:link w:val="FooterChar"/>
    <w:uiPriority w:val="99"/>
    <w:unhideWhenUsed w:val="1"/>
    <w:rsid w:val="00AD0C49"/>
    <w:pPr>
      <w:tabs>
        <w:tab w:val="center" w:pos="4680"/>
        <w:tab w:val="right" w:pos="9360"/>
      </w:tabs>
    </w:pPr>
    <w:rPr>
      <w:rFonts w:asciiTheme="minorHAnsi" w:cstheme="minorBidi" w:eastAsiaTheme="minorHAnsi" w:hAnsiTheme="minorHAnsi"/>
      <w:sz w:val="22"/>
      <w:szCs w:val="22"/>
    </w:rPr>
  </w:style>
  <w:style w:type="character" w:styleId="FooterChar" w:customStyle="1">
    <w:name w:val="Footer Char"/>
    <w:basedOn w:val="DefaultParagraphFont"/>
    <w:link w:val="Footer"/>
    <w:uiPriority w:val="99"/>
    <w:rsid w:val="00AD0C49"/>
  </w:style>
  <w:style w:type="paragraph" w:styleId="Revision">
    <w:name w:val="Revision"/>
    <w:hidden w:val="1"/>
    <w:uiPriority w:val="99"/>
    <w:semiHidden w:val="1"/>
    <w:rsid w:val="00997873"/>
    <w:rPr>
      <w:rFonts w:eastAsia="SimSun"/>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png"/><Relationship Id="rId8"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BDkBk3YQBqPVrK3z9R/IFckmNA==">CgMxLjAyCGguZ2pkZ3hzOAByITFYWW9aYjBsWXJrbEd5MkRYcEZRbG1XLTN5cm9aRlpVbw==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2023-01-19T19:27:00Z</dcterms:created>
  <dc:creator>Jeanne Chang</dc:creator>
</cp:coreProperties>
</file>