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Rat 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Rat cortical neurons are isolated from the Sprague–Dawley rats brain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ZdkLz1Qox/o4urS1Dhm2yUxA==">CgMxLjA4AHIhMWNNeno3ZEtfTDJpUDlWdUFmTjFheVNJcmtpVG00YzhF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