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Porcine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Hepatic Stellate Cells from Cell Biologics are isolated from porcine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ZXVvIyj/3HUTLRg40N274Fd8g==">CgMxLjA4AHIhMTlGWS1qOHFkMl9OREgwOUVHenhHVXhISkFqTGhmUE1P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