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Rabbit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Hepatic Stellate Cells from Cell Biologics are isolated from New Zealand White rabbit liver tissues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JG3ZrAjpYcxY2bcn88UKNBAfg==">CgMxLjA4AHIhMXFaakQ3OU9tUXpnOFpxRVFsZnlvMkRMOUxibks1OWcw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