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Porcine 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Liver Kupffer Cells from Cell Biologics are isolated from porcine liver tissue.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8">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Proceed with experiment assays.</w:t>
      </w:r>
      <w:r w:rsidDel="00000000" w:rsidR="00000000" w:rsidRPr="00000000">
        <w:rPr>
          <w:rtl w:val="0"/>
        </w:rPr>
      </w:r>
    </w:p>
    <w:p w:rsidR="00000000" w:rsidDel="00000000" w:rsidP="00000000" w:rsidRDefault="00000000" w:rsidRPr="00000000" w14:paraId="00000028">
      <w:pPr>
        <w:tabs>
          <w:tab w:val="left" w:leader="none" w:pos="0"/>
        </w:tabs>
        <w:rPr>
          <w:rFonts w:ascii="Arial" w:cs="Arial" w:eastAsia="Arial" w:hAnsi="Arial"/>
          <w:b w:val="1"/>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NtRIQEKuq8AzNsHuqR2ykszZ7A==">CgMxLjA4AHIhMWxHeVc4MlVKQjlzdTZ0Wjk4YlB2al9JSEdaMjdVWFhQ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