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Human Primary Hepatocytes - Plateable</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M1365</w:t>
        <w:tab/>
        <w:tab/>
        <w:t xml:space="preserve">Complete Hepatocyte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Human Primary Hepatocytes from Cell Biologics are isolated from human liver tissue. Cells at passage 0 are cryo-preserved and each vial contains 3x10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Human Primary Hepatocytes are characterized by immunofluorescence staining with an antibody of ZO-1. Cells can be plated under cell culture conditions specified by Cell Biologics for the desired experiment.</w:t>
      </w:r>
      <w:r w:rsidDel="00000000" w:rsidR="00000000" w:rsidRPr="00000000">
        <w:rPr>
          <w:rFonts w:ascii="Arial" w:cs="Arial" w:eastAsia="Arial" w:hAnsi="Arial"/>
          <w:sz w:val="22"/>
          <w:szCs w:val="22"/>
          <w:highlight w:val="white"/>
          <w:rtl w:val="0"/>
        </w:rPr>
        <w:t xml:space="preserve"> Primary hepatocytes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Cells should be plated and used directly for the desired study within 1-2 weeks of receipt. Primary cells should never be stored at -20°C or -80°C.</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Hepatocytes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Hepatocyte Culture Protocol</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review the Cell Biologics website for information on appropriate culture media (e.g., serum and other supplements). Use 30-50 mL of cell culture medium (Cat. No. M1365) prewarmed to 37°C for seeding and medium changes.</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Coating of Cell Culture Plates or Dishes</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Gelatin coating solution (Product No. CB6950, Cell Biologics) was applied to a sterile dish or flask for 2 min, and the excess solution was aspirated.</w:t>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B">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C">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transfer cells (3 million cells/mL) to a sterile 15 mL centrifuge tube.</w:t>
      </w:r>
    </w:p>
    <w:p w:rsidR="00000000" w:rsidDel="00000000" w:rsidP="00000000" w:rsidRDefault="00000000" w:rsidRPr="00000000" w14:paraId="0000002D">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add 7 mL of pre-warmed Cell Biologics cell culture medium (Cat. No. M1365) to the centrifuge tube and gently pipette up and down 2-3 times to resuspend the cells.</w:t>
      </w:r>
    </w:p>
    <w:p w:rsidR="00000000" w:rsidDel="00000000" w:rsidP="00000000" w:rsidRDefault="00000000" w:rsidRPr="00000000" w14:paraId="0000002E">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the cell suspension into two wells of a 6-well plate (0.7 to 1.5 million cells per well) or into a 100 mm culture dish.</w:t>
      </w:r>
    </w:p>
    <w:p w:rsidR="00000000" w:rsidDel="00000000" w:rsidP="00000000" w:rsidRDefault="00000000" w:rsidRPr="00000000" w14:paraId="0000002F">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After approximately 70%-80% of the cells have adhered (2-8 hours), gently aspirate the supernatant (to remove cell debris and non-adherent cells) and replace with pre-warmed maintenance medium (Cat. No. M1365, Cell Biologics).</w:t>
      </w:r>
    </w:p>
    <w:p w:rsidR="00000000" w:rsidDel="00000000" w:rsidP="00000000" w:rsidRDefault="00000000" w:rsidRPr="00000000" w14:paraId="00000030">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1">
      <w:pPr>
        <w:numPr>
          <w:ilvl w:val="0"/>
          <w:numId w:val="1"/>
        </w:numPr>
        <w:ind w:right="-720" w:hanging="36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Proceed with experiment assays within 1-3 days (when cells have reached 90-100% confluence) after plating cells.</w:t>
      </w:r>
    </w:p>
    <w:p w:rsidR="00000000" w:rsidDel="00000000" w:rsidP="00000000" w:rsidRDefault="00000000" w:rsidRPr="00000000" w14:paraId="00000032">
      <w:pPr>
        <w:ind w:left="-36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ind w:left="-36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The numbers of seeding cells in each well may need to be modified according to the user's experience. Recommended seeding density: 200,000 viable cells/cm</w:t>
      </w:r>
      <w:r w:rsidDel="00000000" w:rsidR="00000000" w:rsidRPr="00000000">
        <w:rPr>
          <w:rFonts w:ascii="Arial" w:cs="Arial" w:eastAsia="Arial" w:hAnsi="Arial"/>
          <w:sz w:val="22"/>
          <w:szCs w:val="22"/>
          <w:vertAlign w:val="superscript"/>
          <w:rtl w:val="0"/>
        </w:rPr>
        <w:t xml:space="preserve">2</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5">
      <w:pPr>
        <w:ind w:left="-720" w:right="-720" w:firstLine="0"/>
        <w:jc w:val="both"/>
        <w:rPr>
          <w:rFonts w:ascii="Arial" w:cs="Arial" w:eastAsia="Arial" w:hAnsi="Arial"/>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41830" cy="55099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u w:val="none"/>
      </w:rPr>
    </w:lvl>
    <w:lvl w:ilvl="1">
      <w:start w:val="1"/>
      <w:numFmt w:val="bullet"/>
      <w:lvlText w:val="o"/>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o"/>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o"/>
      <w:lvlJc w:val="left"/>
      <w:pPr>
        <w:ind w:left="5040" w:hanging="360"/>
      </w:pPr>
      <w:rPr>
        <w:u w:val="none"/>
      </w:rPr>
    </w:lvl>
    <w:lvl w:ilvl="8">
      <w:start w:val="1"/>
      <w:numFmt w:val="bullet"/>
      <w:lvlText w:val="▪"/>
      <w:lvlJc w:val="left"/>
      <w:pPr>
        <w:ind w:left="576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e+6TpOlDDTWD1XVH+ilKBFWI5w==">CgMxLjAyCGguZ2pkZ3hzOAByITF6YkVmUXNxN21TUi1oTjdPUS1Wam9hQkxxb1BRVDdtWA==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