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Canine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Canine Primary Hepatocytes from Cell Biologics are isolated from beagle dog liver tissue.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Canine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1">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HZwbVTsTvF52vXLVeCp3GDsYg==">CgMxLjAyCGguZ2pkZ3hzOAByITFRNnpRZWNjRHd4Wm1TRGplS0cxdkI5OS1pZWZ5ODZBMw==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