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BALB/c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Primary Hepatocytes from Cell Biologics are isolated from liver tissue of pathogen-free laboratory BALB/c mice. 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Mouse Primary Hepatocytes are characterized by immunofluorescence staining with an antibody of ZO-1. Cells can be plated under cell culture conditions specified by Cell Biologics for the desired experiment.</w:t>
      </w:r>
      <w:r w:rsidDel="00000000" w:rsidR="00000000" w:rsidRPr="00000000">
        <w:rPr>
          <w:rFonts w:ascii="Arial" w:cs="Arial" w:eastAsia="Arial" w:hAnsi="Arial"/>
          <w:sz w:val="22"/>
          <w:szCs w:val="22"/>
          <w:highlight w:val="white"/>
          <w:rtl w:val="0"/>
        </w:rPr>
        <w:t xml:space="preserve"> 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1">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gaW2OCwC2WcBCxgc6oFxqDo+EQ==">CgMxLjAyCGguZ2pkZ3hzOAByITFGNGI0QkpDQ0hSLVUwbWRQUkdfQnJnRWc2RnlacGFtbg==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