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2MqVoiAmB0tlNE3F8kabDJdtlA==">CgMxLjA4AHIhMUFydWRPRVJUUXhtMzNxcDZWU3lIZW9GekYwSXlDc3dy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2023-01-12T17:16:00Z</dcterms:created>
  <dc:creator>Jeanne Chang</dc:creator>
</cp:coreProperties>
</file>