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Rat Primary Ovarian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RA-6072Luc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Luciferase-Expressing Rat Primary Ovarian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ovarian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w:t>
      </w:r>
      <w:r w:rsidDel="00000000" w:rsidR="00000000" w:rsidRPr="00000000">
        <w:rPr>
          <w:rFonts w:ascii="Arial" w:cs="Arial" w:eastAsia="Arial" w:hAnsi="Arial"/>
          <w:sz w:val="22"/>
          <w:szCs w:val="22"/>
          <w:rtl w:val="0"/>
        </w:rPr>
        <w:t xml:space="preserve">l and is delivered frozen. Luciferase-Expressing Rat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M7P8ZNDDj9Qs42/Qf6wpUe/pg==">CgMxLjA4AHIhMUlFZkFCb3ppX2dCem1Dd1k2SHlGMU9rb3dDQWRHZFlu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2023-01-05T21:28:00Z</dcterms:created>
  <dc:creator>Jeanne Chang</dc:creator>
</cp:coreProperties>
</file>