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B4C97" w:rsidRDefault="003205BA">
      <w:pPr>
        <w:ind w:left="-720" w:right="-720"/>
        <w:jc w:val="both"/>
        <w:rPr>
          <w:rFonts w:ascii="Arial" w:eastAsia="Arial" w:hAnsi="Arial" w:cs="Arial"/>
          <w:b/>
          <w:sz w:val="22"/>
          <w:szCs w:val="22"/>
        </w:rPr>
      </w:pPr>
      <w:r>
        <w:rPr>
          <w:rFonts w:ascii="Arial" w:eastAsia="Arial" w:hAnsi="Arial" w:cs="Arial"/>
          <w:b/>
          <w:sz w:val="22"/>
          <w:szCs w:val="22"/>
        </w:rPr>
        <w:t>________________________________________________________________________________________</w:t>
      </w:r>
      <w:r>
        <w:rPr>
          <w:noProof/>
        </w:rPr>
        <mc:AlternateContent>
          <mc:Choice Requires="wpg">
            <w:drawing>
              <wp:anchor distT="0" distB="0" distL="114300" distR="114300" simplePos="0" relativeHeight="251658240" behindDoc="0" locked="0" layoutInCell="1" hidden="0" allowOverlap="1">
                <wp:simplePos x="0" y="0"/>
                <wp:positionH relativeFrom="column">
                  <wp:posOffset>4673600</wp:posOffset>
                </wp:positionH>
                <wp:positionV relativeFrom="paragraph">
                  <wp:posOffset>-152399</wp:posOffset>
                </wp:positionV>
                <wp:extent cx="1941830" cy="420370"/>
                <wp:effectExtent l="0" t="0" r="0" b="0"/>
                <wp:wrapNone/>
                <wp:docPr id="23" name=""/>
                <wp:cNvGraphicFramePr/>
                <a:graphic xmlns:a="http://schemas.openxmlformats.org/drawingml/2006/main">
                  <a:graphicData uri="http://schemas.microsoft.com/office/word/2010/wordprocessingShape">
                    <wps:wsp>
                      <wps:cNvSpPr/>
                      <wps:spPr>
                        <a:xfrm>
                          <a:off x="4394135" y="3588865"/>
                          <a:ext cx="1903730" cy="382270"/>
                        </a:xfrm>
                        <a:prstGeom prst="rect">
                          <a:avLst/>
                        </a:prstGeom>
                        <a:noFill/>
                        <a:ln>
                          <a:noFill/>
                        </a:ln>
                      </wps:spPr>
                      <wps:txbx>
                        <w:txbxContent>
                          <w:p w:rsidR="00BB4C97" w:rsidRDefault="003205BA">
                            <w:pPr>
                              <w:textDirection w:val="btLr"/>
                            </w:pPr>
                            <w:r>
                              <w:rPr>
                                <w:rFonts w:ascii="Arial" w:eastAsia="Arial" w:hAnsi="Arial" w:cs="Arial"/>
                                <w:color w:val="000000"/>
                              </w:rPr>
                              <w:t>For Research Use Only</w:t>
                            </w:r>
                          </w:p>
                        </w:txbxContent>
                      </wps:txbx>
                      <wps:bodyPr spcFirstLastPara="1" wrap="square" lIns="80450" tIns="40225" rIns="80450" bIns="40225" anchor="t"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BB4C97" w:rsidRDefault="00BB4C97">
      <w:pPr>
        <w:ind w:left="-720"/>
        <w:jc w:val="both"/>
        <w:rPr>
          <w:rFonts w:ascii="Arial" w:eastAsia="Arial" w:hAnsi="Arial" w:cs="Arial"/>
          <w:b/>
          <w:sz w:val="22"/>
          <w:szCs w:val="22"/>
        </w:rPr>
      </w:pPr>
    </w:p>
    <w:p w:rsidR="00BB4C97" w:rsidRDefault="003205BA">
      <w:pPr>
        <w:ind w:left="-720" w:right="-720"/>
        <w:jc w:val="both"/>
        <w:rPr>
          <w:rFonts w:ascii="Arial" w:eastAsia="Arial" w:hAnsi="Arial" w:cs="Arial"/>
          <w:sz w:val="22"/>
          <w:szCs w:val="22"/>
        </w:rPr>
      </w:pPr>
      <w:r>
        <w:rPr>
          <w:rFonts w:ascii="Arial" w:eastAsia="Arial" w:hAnsi="Arial" w:cs="Arial"/>
          <w:b/>
          <w:sz w:val="22"/>
          <w:szCs w:val="22"/>
        </w:rPr>
        <w:t xml:space="preserve">Luciferase-Expressing Rat Primary Lung Fibroblasts </w:t>
      </w:r>
    </w:p>
    <w:p w:rsidR="00BB4C97" w:rsidRDefault="003205BA">
      <w:pPr>
        <w:ind w:left="-720" w:right="-720"/>
        <w:jc w:val="both"/>
        <w:rPr>
          <w:rFonts w:ascii="Arial" w:eastAsia="Arial" w:hAnsi="Arial" w:cs="Arial"/>
          <w:sz w:val="22"/>
          <w:szCs w:val="22"/>
        </w:rPr>
      </w:pPr>
      <w:r>
        <w:rPr>
          <w:rFonts w:ascii="Arial" w:eastAsia="Arial" w:hAnsi="Arial" w:cs="Arial"/>
          <w:sz w:val="22"/>
          <w:szCs w:val="22"/>
        </w:rPr>
        <w:t>Catalog No.</w:t>
      </w:r>
      <w:r>
        <w:rPr>
          <w:rFonts w:ascii="Arial" w:eastAsia="Arial" w:hAnsi="Arial" w:cs="Arial"/>
          <w:sz w:val="22"/>
          <w:szCs w:val="22"/>
        </w:rPr>
        <w:tab/>
        <w:t>RA-6013Luc</w:t>
      </w:r>
    </w:p>
    <w:p w:rsidR="00BB4C97" w:rsidRDefault="00BB4C97">
      <w:pPr>
        <w:ind w:left="-720" w:right="-720"/>
        <w:jc w:val="both"/>
        <w:rPr>
          <w:rFonts w:ascii="Arial" w:eastAsia="Arial" w:hAnsi="Arial" w:cs="Arial"/>
          <w:sz w:val="22"/>
          <w:szCs w:val="22"/>
        </w:rPr>
      </w:pPr>
    </w:p>
    <w:p w:rsidR="00BB4C97" w:rsidRDefault="003205BA">
      <w:pPr>
        <w:ind w:left="-720" w:right="-720"/>
        <w:jc w:val="both"/>
        <w:rPr>
          <w:rFonts w:ascii="Arial" w:eastAsia="Arial" w:hAnsi="Arial" w:cs="Arial"/>
          <w:b/>
          <w:sz w:val="22"/>
          <w:szCs w:val="22"/>
          <w:highlight w:val="white"/>
        </w:rPr>
      </w:pPr>
      <w:r>
        <w:rPr>
          <w:rFonts w:ascii="Arial" w:eastAsia="Arial" w:hAnsi="Arial" w:cs="Arial"/>
          <w:b/>
          <w:sz w:val="22"/>
          <w:szCs w:val="22"/>
          <w:highlight w:val="white"/>
        </w:rPr>
        <w:t>Suggested Medium</w:t>
      </w:r>
    </w:p>
    <w:p w:rsidR="00BB4C97" w:rsidRDefault="003205BA">
      <w:pPr>
        <w:ind w:left="-720" w:right="-720"/>
        <w:jc w:val="both"/>
        <w:rPr>
          <w:rFonts w:ascii="Arial" w:eastAsia="Arial" w:hAnsi="Arial" w:cs="Arial"/>
          <w:sz w:val="22"/>
          <w:szCs w:val="22"/>
          <w:highlight w:val="white"/>
        </w:rPr>
      </w:pPr>
      <w:r>
        <w:rPr>
          <w:rFonts w:ascii="Arial" w:eastAsia="Arial" w:hAnsi="Arial" w:cs="Arial"/>
          <w:sz w:val="22"/>
          <w:szCs w:val="22"/>
          <w:highlight w:val="white"/>
        </w:rPr>
        <w:t>M2267</w:t>
      </w:r>
      <w:r>
        <w:rPr>
          <w:rFonts w:ascii="Arial" w:eastAsia="Arial" w:hAnsi="Arial" w:cs="Arial"/>
          <w:sz w:val="22"/>
          <w:szCs w:val="22"/>
          <w:highlight w:val="white"/>
        </w:rPr>
        <w:tab/>
      </w:r>
      <w:r>
        <w:rPr>
          <w:rFonts w:ascii="Arial" w:eastAsia="Arial" w:hAnsi="Arial" w:cs="Arial"/>
          <w:sz w:val="22"/>
          <w:szCs w:val="22"/>
          <w:highlight w:val="white"/>
        </w:rPr>
        <w:tab/>
        <w:t>Complete Fibroblast Medium w/ Kit – 500 ml</w:t>
      </w:r>
    </w:p>
    <w:p w:rsidR="00BB4C97" w:rsidRDefault="00BB4C97">
      <w:pPr>
        <w:ind w:left="-720" w:right="-720"/>
        <w:jc w:val="both"/>
        <w:rPr>
          <w:rFonts w:ascii="Arial" w:eastAsia="Arial" w:hAnsi="Arial" w:cs="Arial"/>
          <w:sz w:val="22"/>
          <w:szCs w:val="22"/>
          <w:highlight w:val="white"/>
        </w:rPr>
      </w:pPr>
    </w:p>
    <w:p w:rsidR="00BB4C97" w:rsidRDefault="003205BA">
      <w:pPr>
        <w:ind w:left="-720" w:right="-720"/>
        <w:jc w:val="both"/>
        <w:rPr>
          <w:rFonts w:ascii="Arial" w:eastAsia="Arial" w:hAnsi="Arial" w:cs="Arial"/>
          <w:b/>
          <w:sz w:val="22"/>
          <w:szCs w:val="22"/>
          <w:highlight w:val="white"/>
        </w:rPr>
      </w:pPr>
      <w:r>
        <w:rPr>
          <w:rFonts w:ascii="Arial" w:eastAsia="Arial" w:hAnsi="Arial" w:cs="Arial"/>
          <w:b/>
          <w:sz w:val="22"/>
          <w:szCs w:val="22"/>
          <w:highlight w:val="white"/>
        </w:rPr>
        <w:t>Product Description</w:t>
      </w:r>
    </w:p>
    <w:p w:rsidR="00BB4C97" w:rsidRDefault="003205BA">
      <w:pPr>
        <w:ind w:left="-720" w:right="-720"/>
        <w:jc w:val="both"/>
        <w:rPr>
          <w:rFonts w:ascii="Arial" w:eastAsia="Arial" w:hAnsi="Arial" w:cs="Arial"/>
          <w:sz w:val="22"/>
          <w:szCs w:val="22"/>
        </w:rPr>
      </w:pPr>
      <w:r>
        <w:rPr>
          <w:rFonts w:ascii="Arial" w:eastAsia="Arial" w:hAnsi="Arial" w:cs="Arial"/>
          <w:sz w:val="22"/>
          <w:szCs w:val="22"/>
          <w:highlight w:val="white"/>
        </w:rPr>
        <w:t xml:space="preserve">Luciferase-Expressing Rat Primary Lung Fibroblasts from Cell Biologics are </w:t>
      </w:r>
      <w:r w:rsidR="000518CC">
        <w:rPr>
          <w:rFonts w:ascii="Arial" w:eastAsia="Arial" w:hAnsi="Arial" w:cs="Arial"/>
          <w:sz w:val="22"/>
          <w:szCs w:val="22"/>
        </w:rPr>
        <w:t>isolated from the</w:t>
      </w:r>
      <w:r>
        <w:rPr>
          <w:rFonts w:ascii="Arial" w:eastAsia="Arial" w:hAnsi="Arial" w:cs="Arial"/>
          <w:sz w:val="22"/>
          <w:szCs w:val="22"/>
          <w:highlight w:val="white"/>
        </w:rPr>
        <w:t xml:space="preserve"> Lung </w:t>
      </w:r>
      <w:r w:rsidRPr="003205BA">
        <w:rPr>
          <w:rFonts w:ascii="Arial" w:eastAsia="Arial" w:hAnsi="Arial" w:cs="Arial"/>
          <w:sz w:val="22"/>
          <w:szCs w:val="22"/>
        </w:rPr>
        <w:t>tissues of</w:t>
      </w:r>
      <w:r>
        <w:rPr>
          <w:rFonts w:ascii="Arial" w:eastAsia="Arial" w:hAnsi="Arial" w:cs="Arial"/>
          <w:sz w:val="22"/>
          <w:szCs w:val="22"/>
          <w:highlight w:val="white"/>
        </w:rPr>
        <w:t xml:space="preserve"> 6-8 week old laboratory Sprague–Dawley rat and grown in gelatin pre-coated tissue culture flask with Cell Biologics’ Complete Growth </w:t>
      </w:r>
      <w:r>
        <w:rPr>
          <w:rFonts w:ascii="Arial" w:eastAsia="Arial" w:hAnsi="Arial" w:cs="Arial"/>
          <w:color w:val="000000"/>
          <w:sz w:val="22"/>
          <w:szCs w:val="22"/>
          <w:highlight w:val="white"/>
        </w:rPr>
        <w:t>Medium</w:t>
      </w:r>
      <w:r>
        <w:rPr>
          <w:rFonts w:ascii="Arial" w:eastAsia="Arial" w:hAnsi="Arial" w:cs="Arial"/>
          <w:sz w:val="22"/>
          <w:szCs w:val="22"/>
          <w:highlight w:val="white"/>
        </w:rPr>
        <w:t>. Cells at passage 2-3 are harvested from flasks and cryo-preserved in vials. Each vial contains 0.5x10</w:t>
      </w:r>
      <w:r>
        <w:rPr>
          <w:rFonts w:ascii="Arial" w:eastAsia="Arial" w:hAnsi="Arial" w:cs="Arial"/>
          <w:sz w:val="22"/>
          <w:szCs w:val="22"/>
          <w:highlight w:val="white"/>
          <w:vertAlign w:val="superscript"/>
        </w:rPr>
        <w:t>6</w:t>
      </w:r>
      <w:r>
        <w:rPr>
          <w:rFonts w:ascii="Arial" w:eastAsia="Arial" w:hAnsi="Arial" w:cs="Arial"/>
          <w:sz w:val="22"/>
          <w:szCs w:val="22"/>
          <w:highlight w:val="white"/>
        </w:rPr>
        <w:t xml:space="preserve"> cells per m</w:t>
      </w:r>
      <w:r>
        <w:rPr>
          <w:rFonts w:ascii="Arial" w:eastAsia="Arial" w:hAnsi="Arial" w:cs="Arial"/>
          <w:sz w:val="22"/>
          <w:szCs w:val="22"/>
        </w:rPr>
        <w:t xml:space="preserve">l and is delivered frozen. Luciferase-Expressing Rat Primary Lung Fibroblasts are characterized by their spindle morphology and immunofluorescent staining with anti-Vimentin antibody. These cells are negative for bacteria, yeast, fungi, and mycoplasma and can be expanded for 3-5 passages at a split ratio of 1:2 under the cell culture conditions specified by Cell Biologics. Repeated freezing and thawing of cells </w:t>
      </w:r>
      <w:r w:rsidR="000518CC">
        <w:rPr>
          <w:rFonts w:ascii="Arial" w:eastAsia="Arial" w:hAnsi="Arial" w:cs="Arial"/>
          <w:sz w:val="22"/>
          <w:szCs w:val="22"/>
        </w:rPr>
        <w:t>are not recommended</w:t>
      </w:r>
      <w:r>
        <w:rPr>
          <w:rFonts w:ascii="Arial" w:eastAsia="Arial" w:hAnsi="Arial" w:cs="Arial"/>
          <w:sz w:val="22"/>
          <w:szCs w:val="22"/>
        </w:rPr>
        <w:t>.</w:t>
      </w:r>
    </w:p>
    <w:p w:rsidR="00BB4C97" w:rsidRDefault="00BB4C97">
      <w:pPr>
        <w:ind w:left="-720" w:right="-720"/>
        <w:jc w:val="both"/>
        <w:rPr>
          <w:rFonts w:ascii="Arial" w:eastAsia="Arial" w:hAnsi="Arial" w:cs="Arial"/>
          <w:sz w:val="22"/>
          <w:szCs w:val="22"/>
        </w:rPr>
      </w:pPr>
    </w:p>
    <w:p w:rsidR="00BB4C97" w:rsidRDefault="003205BA">
      <w:pPr>
        <w:ind w:left="-720" w:right="-720"/>
        <w:jc w:val="both"/>
        <w:rPr>
          <w:rFonts w:ascii="Arial" w:eastAsia="Arial" w:hAnsi="Arial" w:cs="Arial"/>
          <w:sz w:val="22"/>
          <w:szCs w:val="22"/>
        </w:rPr>
      </w:pPr>
      <w:r>
        <w:rPr>
          <w:rFonts w:ascii="Arial" w:eastAsia="Arial" w:hAnsi="Arial" w:cs="Arial"/>
          <w:sz w:val="22"/>
          <w:szCs w:val="22"/>
        </w:rPr>
        <w:t>Luciferase, distinct from GFP/RFP photoprotein, is widely used in bioluminescence. Cell Biologics generates various Firefly luciferase-expressing stable cells, including endothelial cells, epithelial cells and so forth. Firefly luciferase-expressing cells are developed through transducing Firefly luciferase-lentiviral particles.</w:t>
      </w:r>
    </w:p>
    <w:p w:rsidR="00BB4C97" w:rsidRDefault="00BB4C97">
      <w:pPr>
        <w:ind w:left="-720" w:right="-720"/>
        <w:jc w:val="both"/>
        <w:rPr>
          <w:rFonts w:ascii="Arial" w:eastAsia="Arial" w:hAnsi="Arial" w:cs="Arial"/>
          <w:b/>
          <w:sz w:val="22"/>
          <w:szCs w:val="22"/>
        </w:rPr>
      </w:pPr>
    </w:p>
    <w:p w:rsidR="00BB4C97" w:rsidRDefault="003205BA">
      <w:pPr>
        <w:ind w:left="-720" w:right="-720"/>
        <w:jc w:val="both"/>
        <w:rPr>
          <w:rFonts w:ascii="Arial" w:eastAsia="Arial" w:hAnsi="Arial" w:cs="Arial"/>
          <w:b/>
          <w:sz w:val="22"/>
          <w:szCs w:val="22"/>
        </w:rPr>
      </w:pPr>
      <w:r>
        <w:rPr>
          <w:rFonts w:ascii="Arial" w:eastAsia="Arial" w:hAnsi="Arial" w:cs="Arial"/>
          <w:b/>
          <w:sz w:val="22"/>
          <w:szCs w:val="22"/>
        </w:rPr>
        <w:t>Storage</w:t>
      </w:r>
    </w:p>
    <w:p w:rsidR="00BB4C97" w:rsidRDefault="003205BA">
      <w:pPr>
        <w:ind w:left="-720" w:right="-720"/>
        <w:jc w:val="both"/>
        <w:rPr>
          <w:rFonts w:ascii="Arial" w:eastAsia="Arial" w:hAnsi="Arial" w:cs="Arial"/>
          <w:sz w:val="22"/>
          <w:szCs w:val="22"/>
        </w:rPr>
      </w:pPr>
      <w:r>
        <w:rPr>
          <w:rFonts w:ascii="Arial" w:eastAsia="Arial" w:hAnsi="Arial" w:cs="Arial"/>
          <w:sz w:val="22"/>
          <w:szCs w:val="22"/>
        </w:rPr>
        <w:t>Cryopreserved cells are shipped with dry ice overnight. Upon arrival, transfer frozen cells to liquid nitrogen (-180°C) immediately until ready for use. Live cell shipment is also available on request. Primary cells can never be kept at -20 °C or -80 °C freezer.</w:t>
      </w:r>
    </w:p>
    <w:p w:rsidR="00BB4C97" w:rsidRDefault="00BB4C97">
      <w:pPr>
        <w:ind w:left="-720" w:right="-720"/>
        <w:jc w:val="both"/>
        <w:rPr>
          <w:rFonts w:ascii="Arial" w:eastAsia="Arial" w:hAnsi="Arial" w:cs="Arial"/>
          <w:b/>
          <w:sz w:val="22"/>
          <w:szCs w:val="22"/>
        </w:rPr>
      </w:pPr>
    </w:p>
    <w:p w:rsidR="00BB4C97" w:rsidRDefault="003205BA">
      <w:pPr>
        <w:ind w:left="-720" w:right="-720"/>
        <w:jc w:val="both"/>
        <w:rPr>
          <w:rFonts w:ascii="Arial" w:eastAsia="Arial" w:hAnsi="Arial" w:cs="Arial"/>
          <w:b/>
          <w:sz w:val="22"/>
          <w:szCs w:val="22"/>
        </w:rPr>
      </w:pPr>
      <w:r>
        <w:rPr>
          <w:rFonts w:ascii="Arial" w:eastAsia="Arial" w:hAnsi="Arial" w:cs="Arial"/>
          <w:b/>
          <w:sz w:val="22"/>
          <w:szCs w:val="22"/>
        </w:rPr>
        <w:t>Authorized Uses of Cell Biologics’ Products</w:t>
      </w:r>
    </w:p>
    <w:p w:rsidR="00BB4C97" w:rsidRDefault="003205BA">
      <w:pPr>
        <w:ind w:left="-720" w:right="-720"/>
        <w:jc w:val="both"/>
        <w:rPr>
          <w:rFonts w:ascii="Arial" w:eastAsia="Arial" w:hAnsi="Arial" w:cs="Arial"/>
          <w:sz w:val="22"/>
          <w:szCs w:val="22"/>
        </w:rPr>
      </w:pPr>
      <w:r>
        <w:rPr>
          <w:rFonts w:ascii="Arial" w:eastAsia="Arial" w:hAnsi="Arial" w:cs="Arial"/>
          <w:sz w:val="22"/>
          <w:szCs w:val="22"/>
        </w:rPr>
        <w:t>Luciferase-Expressing Rat Primary Lung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BB4C97" w:rsidRDefault="00BB4C97">
      <w:pPr>
        <w:ind w:left="-720" w:right="-720"/>
        <w:jc w:val="both"/>
        <w:rPr>
          <w:rFonts w:ascii="Arial" w:eastAsia="Arial" w:hAnsi="Arial" w:cs="Arial"/>
          <w:b/>
          <w:sz w:val="22"/>
          <w:szCs w:val="22"/>
        </w:rPr>
      </w:pPr>
    </w:p>
    <w:p w:rsidR="00BB4C97" w:rsidRDefault="003205BA">
      <w:pPr>
        <w:ind w:left="-720" w:right="-720"/>
        <w:jc w:val="both"/>
        <w:rPr>
          <w:rFonts w:ascii="Arial" w:eastAsia="Arial" w:hAnsi="Arial" w:cs="Arial"/>
          <w:b/>
          <w:sz w:val="22"/>
          <w:szCs w:val="22"/>
        </w:rPr>
      </w:pPr>
      <w:r>
        <w:rPr>
          <w:rFonts w:ascii="Arial" w:eastAsia="Arial" w:hAnsi="Arial" w:cs="Arial"/>
          <w:b/>
          <w:sz w:val="22"/>
          <w:szCs w:val="22"/>
        </w:rPr>
        <w:t>Disclaimer</w:t>
      </w:r>
    </w:p>
    <w:p w:rsidR="00BB4C97" w:rsidRDefault="003205BA">
      <w:pPr>
        <w:ind w:left="-720" w:right="-720"/>
        <w:jc w:val="both"/>
        <w:rPr>
          <w:rFonts w:ascii="Arial" w:eastAsia="Arial" w:hAnsi="Arial" w:cs="Arial"/>
          <w:sz w:val="22"/>
          <w:szCs w:val="22"/>
        </w:rPr>
      </w:pPr>
      <w:r>
        <w:rPr>
          <w:rFonts w:ascii="Arial" w:eastAsia="Arial" w:hAnsi="Arial" w:cs="Arial"/>
          <w:sz w:val="22"/>
          <w:szCs w:val="22"/>
        </w:rPr>
        <w:t>Investigators should handle the cells with caution and treat all animal cells as potential pathogens, since no test procedure can completely guarantee the absence of infectious agents.</w:t>
      </w:r>
    </w:p>
    <w:p w:rsidR="00BB4C97" w:rsidRDefault="00BB4C97">
      <w:pPr>
        <w:ind w:right="-720"/>
        <w:jc w:val="both"/>
        <w:rPr>
          <w:rFonts w:ascii="Arial" w:eastAsia="Arial" w:hAnsi="Arial" w:cs="Arial"/>
          <w:b/>
          <w:sz w:val="22"/>
          <w:szCs w:val="22"/>
        </w:rPr>
      </w:pPr>
    </w:p>
    <w:p w:rsidR="00BB4C97" w:rsidRDefault="003205BA">
      <w:pPr>
        <w:ind w:left="-720" w:right="-720"/>
        <w:jc w:val="both"/>
        <w:rPr>
          <w:rFonts w:ascii="Arial" w:eastAsia="Arial" w:hAnsi="Arial" w:cs="Arial"/>
          <w:b/>
          <w:sz w:val="22"/>
          <w:szCs w:val="22"/>
        </w:rPr>
      </w:pPr>
      <w:r>
        <w:rPr>
          <w:rFonts w:ascii="Arial" w:eastAsia="Arial" w:hAnsi="Arial" w:cs="Arial"/>
          <w:b/>
          <w:sz w:val="22"/>
          <w:szCs w:val="22"/>
        </w:rPr>
        <w:t>Warranty and Liability</w:t>
      </w:r>
    </w:p>
    <w:p w:rsidR="00BB4C97" w:rsidRDefault="003205BA">
      <w:pPr>
        <w:ind w:left="-720" w:right="-720"/>
        <w:jc w:val="both"/>
        <w:rPr>
          <w:rFonts w:ascii="Arial" w:eastAsia="Arial" w:hAnsi="Arial" w:cs="Arial"/>
          <w:sz w:val="22"/>
          <w:szCs w:val="22"/>
        </w:rPr>
      </w:pPr>
      <w:r>
        <w:rPr>
          <w:rFonts w:ascii="Arial" w:eastAsia="Arial" w:hAnsi="Arial" w:cs="Arial"/>
          <w:sz w:val="22"/>
          <w:szCs w:val="22"/>
        </w:rPr>
        <w:t>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BB4C97" w:rsidRDefault="00BB4C97">
      <w:pPr>
        <w:tabs>
          <w:tab w:val="left" w:pos="0"/>
        </w:tabs>
      </w:pPr>
    </w:p>
    <w:sectPr w:rsidR="00BB4C97">
      <w:headerReference w:type="default" r:id="rId8"/>
      <w:footerReference w:type="default" r:id="rId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D45CE" w:rsidRDefault="003205BA">
      <w:r>
        <w:separator/>
      </w:r>
    </w:p>
  </w:endnote>
  <w:endnote w:type="continuationSeparator" w:id="0">
    <w:p w:rsidR="003D45CE" w:rsidRDefault="00320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B4C97" w:rsidRDefault="003205BA">
    <w:pPr>
      <w:pBdr>
        <w:top w:val="nil"/>
        <w:left w:val="nil"/>
        <w:bottom w:val="nil"/>
        <w:right w:val="nil"/>
        <w:between w:val="nil"/>
      </w:pBdr>
      <w:tabs>
        <w:tab w:val="center" w:pos="4680"/>
        <w:tab w:val="right" w:pos="9360"/>
      </w:tabs>
      <w:rPr>
        <w:rFonts w:ascii="Calibri" w:eastAsia="Calibri" w:hAnsi="Calibri" w:cs="Calibri"/>
        <w:color w:val="000000"/>
        <w:sz w:val="22"/>
        <w:szCs w:val="22"/>
      </w:rPr>
    </w:pPr>
    <w:r>
      <w:rPr>
        <w:noProof/>
      </w:rPr>
      <w:drawing>
        <wp:anchor distT="0" distB="0" distL="114300" distR="114300" simplePos="0" relativeHeight="251659264" behindDoc="0" locked="0" layoutInCell="1" hidden="0" allowOverlap="1">
          <wp:simplePos x="0" y="0"/>
          <wp:positionH relativeFrom="column">
            <wp:posOffset>-898520</wp:posOffset>
          </wp:positionH>
          <wp:positionV relativeFrom="paragraph">
            <wp:posOffset>-240025</wp:posOffset>
          </wp:positionV>
          <wp:extent cx="7746285" cy="1028700"/>
          <wp:effectExtent l="0" t="0" r="0" b="0"/>
          <wp:wrapNone/>
          <wp:docPr id="25" name="image2.png" descr="Background pattern&#10;&#10;Description automatically generated with low confidence"/>
          <wp:cNvGraphicFramePr/>
          <a:graphic xmlns:a="http://schemas.openxmlformats.org/drawingml/2006/main">
            <a:graphicData uri="http://schemas.openxmlformats.org/drawingml/2006/picture">
              <pic:pic xmlns:pic="http://schemas.openxmlformats.org/drawingml/2006/picture">
                <pic:nvPicPr>
                  <pic:cNvPr id="0" name="image2.png" descr="Background pattern&#10;&#10;Description automatically generated with low confidence"/>
                  <pic:cNvPicPr preferRelativeResize="0"/>
                </pic:nvPicPr>
                <pic:blipFill>
                  <a:blip r:embed="rId1"/>
                  <a:srcRect/>
                  <a:stretch>
                    <a:fillRect/>
                  </a:stretch>
                </pic:blipFill>
                <pic:spPr>
                  <a:xfrm>
                    <a:off x="0" y="0"/>
                    <a:ext cx="7746285" cy="1028700"/>
                  </a:xfrm>
                  <a:prstGeom prst="rect">
                    <a:avLst/>
                  </a:prstGeom>
                  <a:ln/>
                </pic:spPr>
              </pic:pic>
            </a:graphicData>
          </a:graphic>
        </wp:anchor>
      </w:drawing>
    </w:r>
  </w:p>
  <w:p w:rsidR="00BB4C97" w:rsidRDefault="00BB4C97">
    <w:pPr>
      <w:pBdr>
        <w:top w:val="nil"/>
        <w:left w:val="nil"/>
        <w:bottom w:val="nil"/>
        <w:right w:val="nil"/>
        <w:between w:val="nil"/>
      </w:pBdr>
      <w:tabs>
        <w:tab w:val="center" w:pos="4680"/>
        <w:tab w:val="right" w:pos="9360"/>
      </w:tabs>
      <w:rPr>
        <w:rFonts w:ascii="Calibri" w:eastAsia="Calibri" w:hAnsi="Calibri" w:cs="Calibri"/>
        <w:color w:val="00000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D45CE" w:rsidRDefault="003205BA">
      <w:r>
        <w:separator/>
      </w:r>
    </w:p>
  </w:footnote>
  <w:footnote w:type="continuationSeparator" w:id="0">
    <w:p w:rsidR="003D45CE" w:rsidRDefault="003205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B4C97" w:rsidRDefault="003205BA">
    <w:pPr>
      <w:pBdr>
        <w:top w:val="nil"/>
        <w:left w:val="nil"/>
        <w:bottom w:val="nil"/>
        <w:right w:val="nil"/>
        <w:between w:val="nil"/>
      </w:pBdr>
      <w:tabs>
        <w:tab w:val="center" w:pos="4680"/>
        <w:tab w:val="right" w:pos="9360"/>
        <w:tab w:val="left" w:pos="8540"/>
      </w:tabs>
      <w:rPr>
        <w:rFonts w:ascii="Calibri" w:eastAsia="Calibri" w:hAnsi="Calibri" w:cs="Calibri"/>
        <w:color w:val="000000"/>
        <w:sz w:val="22"/>
        <w:szCs w:val="22"/>
      </w:rPr>
    </w:pPr>
    <w:r>
      <w:rPr>
        <w:rFonts w:ascii="Calibri" w:eastAsia="Calibri" w:hAnsi="Calibri" w:cs="Calibri"/>
        <w:color w:val="000000"/>
        <w:sz w:val="22"/>
        <w:szCs w:val="22"/>
      </w:rPr>
      <w:tab/>
    </w:r>
    <w:r>
      <w:rPr>
        <w:noProof/>
      </w:rPr>
      <w:drawing>
        <wp:anchor distT="0" distB="0" distL="0" distR="0" simplePos="0" relativeHeight="251658240" behindDoc="1" locked="0" layoutInCell="1" hidden="0" allowOverlap="1">
          <wp:simplePos x="0" y="0"/>
          <wp:positionH relativeFrom="column">
            <wp:posOffset>-3295645</wp:posOffset>
          </wp:positionH>
          <wp:positionV relativeFrom="paragraph">
            <wp:posOffset>-380996</wp:posOffset>
          </wp:positionV>
          <wp:extent cx="7772400" cy="1047750"/>
          <wp:effectExtent l="0" t="0" r="0" b="0"/>
          <wp:wrapNone/>
          <wp:docPr id="2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b="89584"/>
                  <a:stretch>
                    <a:fillRect/>
                  </a:stretch>
                </pic:blipFill>
                <pic:spPr>
                  <a:xfrm>
                    <a:off x="0" y="0"/>
                    <a:ext cx="7772400" cy="1047750"/>
                  </a:xfrm>
                  <a:prstGeom prst="rect">
                    <a:avLst/>
                  </a:prstGeom>
                  <a:ln/>
                </pic:spPr>
              </pic:pic>
            </a:graphicData>
          </a:graphic>
        </wp:anchor>
      </w:drawing>
    </w:r>
  </w:p>
  <w:p w:rsidR="00BB4C97" w:rsidRDefault="00BB4C97">
    <w:pPr>
      <w:pBdr>
        <w:top w:val="nil"/>
        <w:left w:val="nil"/>
        <w:bottom w:val="nil"/>
        <w:right w:val="nil"/>
        <w:between w:val="nil"/>
      </w:pBdr>
      <w:tabs>
        <w:tab w:val="center" w:pos="4680"/>
        <w:tab w:val="right" w:pos="9360"/>
      </w:tabs>
      <w:rPr>
        <w:rFonts w:ascii="Calibri" w:eastAsia="Calibri" w:hAnsi="Calibri" w:cs="Calibri"/>
        <w:color w:val="000000"/>
        <w:sz w:val="22"/>
        <w:szCs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4C97"/>
    <w:rsid w:val="000518CC"/>
    <w:rsid w:val="003205BA"/>
    <w:rsid w:val="003D45CE"/>
    <w:rsid w:val="00BB4C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B37DD10-9264-4ABB-B872-DE3F0BE5A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5F05"/>
    <w:rPr>
      <w:rFonts w:eastAsia="SimSun"/>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AD0C49"/>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AD0C49"/>
  </w:style>
  <w:style w:type="paragraph" w:styleId="Footer">
    <w:name w:val="footer"/>
    <w:basedOn w:val="Normal"/>
    <w:link w:val="FooterChar"/>
    <w:uiPriority w:val="99"/>
    <w:unhideWhenUsed/>
    <w:rsid w:val="00AD0C49"/>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AD0C49"/>
  </w:style>
  <w:style w:type="paragraph" w:styleId="Revision">
    <w:name w:val="Revision"/>
    <w:hidden/>
    <w:uiPriority w:val="99"/>
    <w:semiHidden/>
    <w:rsid w:val="00997873"/>
    <w:rPr>
      <w:rFonts w:eastAsia="SimSun"/>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WVidHQyt9LiHOqRo7F0+WyeyPSw==">AMUW2mW4yb8vH2G3KjQeihIGMRVKkrafWS1NY/B4P6Oi22yUhvmA+xaaF0pVM7I5cklcXhF5P97BUCKXqiU3QdvudLEfuVKxPo2hng8SSnYqwokv9UWgaKw=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400</Words>
  <Characters>2286</Characters>
  <Application>Microsoft Office Word</Application>
  <DocSecurity>0</DocSecurity>
  <Lines>19</Lines>
  <Paragraphs>5</Paragraphs>
  <ScaleCrop>false</ScaleCrop>
  <Company/>
  <LinksUpToDate>false</LinksUpToDate>
  <CharactersWithSpaces>2681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Jeanne Chang</dc:creator>
  <cp:lastModifiedBy>Dr Gao</cp:lastModifiedBy>
  <cp:revision>3</cp:revision>
  <dcterms:created xsi:type="dcterms:W3CDTF">2022-10-20T21:31:00Z</dcterms:created>
  <dcterms:modified xsi:type="dcterms:W3CDTF">2023-03-20T20:30:00Z</dcterms:modified>
</cp:coreProperties>
</file>