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Pulmonary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Pulmonary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Pulmonary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HZDJzGWUElOPTRPFCZOQnA0TQ==">CgMxLjA4AHIhMVdZRm9JTUk1aldCdk14bHhQUFRvYlYyWnBvYlFPbXUy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2023-01-19T20:41:00Z</dcterms:created>
  <dc:creator>Jeanne Chang</dc:creator>
</cp:coreProperties>
</file>