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Colonic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RA-6231IM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Rat Primary Colonic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colonic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Rat Primary Colonic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SAnsivKyJNIYgYTUVyAu1OYisg==">CgMxLjA4AHIhMU4xcElmZlVVX192ZnR3WVhtNFZMRjBHa3VvelI3cVlw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2023-01-19T20:21:00Z</dcterms:created>
  <dc:creator>Jeanne Chang</dc:creator>
</cp:coreProperties>
</file>