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Embryonic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embryonic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Embryonic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NXenRaCzAk2udY4NEW5uuVN3w==">CgMxLjA4AHIhMWloaWpBdjNkc3ZUTWJTUXlOZGo2Y0Q3R3lOczVqeTJa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2023-01-19T20:23:00Z</dcterms:created>
  <dc:creator>Jeanne Chang</dc:creator>
</cp:coreProperties>
</file>