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2B7F" w:rsidRDefault="006D33A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F42B7F" w:rsidRDefault="006D33A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F42B7F" w:rsidRDefault="00F42B7F">
      <w:pPr>
        <w:ind w:left="-720"/>
        <w:jc w:val="both"/>
        <w:rPr>
          <w:rFonts w:ascii="Arial" w:eastAsia="Arial" w:hAnsi="Arial" w:cs="Arial"/>
          <w:b/>
          <w:sz w:val="22"/>
          <w:szCs w:val="22"/>
        </w:rPr>
      </w:pPr>
    </w:p>
    <w:p w:rsidR="00F42B7F" w:rsidRDefault="006D33A2">
      <w:pPr>
        <w:ind w:left="-720" w:right="-720"/>
        <w:jc w:val="both"/>
        <w:rPr>
          <w:rFonts w:ascii="Arial" w:eastAsia="Arial" w:hAnsi="Arial" w:cs="Arial"/>
          <w:sz w:val="22"/>
          <w:szCs w:val="22"/>
        </w:rPr>
      </w:pPr>
      <w:r>
        <w:rPr>
          <w:rFonts w:ascii="Arial" w:eastAsia="Arial" w:hAnsi="Arial" w:cs="Arial"/>
          <w:b/>
          <w:sz w:val="22"/>
          <w:szCs w:val="22"/>
        </w:rPr>
        <w:t xml:space="preserve">GFP-Expressing Rat Primary Lung Fibroblasts </w:t>
      </w:r>
    </w:p>
    <w:p w:rsidR="00F42B7F" w:rsidRDefault="006D33A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RA-6013GFP</w:t>
      </w:r>
    </w:p>
    <w:p w:rsidR="00F42B7F" w:rsidRDefault="00F42B7F">
      <w:pPr>
        <w:ind w:left="-720" w:right="-720"/>
        <w:jc w:val="both"/>
        <w:rPr>
          <w:rFonts w:ascii="Arial" w:eastAsia="Arial" w:hAnsi="Arial" w:cs="Arial"/>
          <w:sz w:val="22"/>
          <w:szCs w:val="22"/>
        </w:rPr>
      </w:pPr>
    </w:p>
    <w:p w:rsidR="00F42B7F" w:rsidRDefault="006D33A2">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Suggested Medium</w:t>
      </w:r>
    </w:p>
    <w:p w:rsidR="00F42B7F" w:rsidRDefault="006D33A2">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t>Complete Fibroblast Medium w/ Kit – 500 ml</w:t>
      </w:r>
    </w:p>
    <w:p w:rsidR="00F42B7F" w:rsidRDefault="00F42B7F">
      <w:pPr>
        <w:ind w:left="-720" w:right="-720"/>
        <w:jc w:val="both"/>
        <w:rPr>
          <w:rFonts w:ascii="Arial" w:eastAsia="Arial" w:hAnsi="Arial" w:cs="Arial"/>
          <w:sz w:val="22"/>
          <w:szCs w:val="22"/>
          <w:highlight w:val="white"/>
        </w:rPr>
      </w:pPr>
    </w:p>
    <w:p w:rsidR="00F42B7F" w:rsidRDefault="006D33A2">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Product Description</w:t>
      </w:r>
    </w:p>
    <w:p w:rsidR="00F42B7F" w:rsidRDefault="006D33A2">
      <w:pPr>
        <w:ind w:left="-720" w:right="-720"/>
        <w:jc w:val="both"/>
        <w:rPr>
          <w:rFonts w:ascii="Arial" w:eastAsia="Arial" w:hAnsi="Arial" w:cs="Arial"/>
          <w:sz w:val="22"/>
          <w:szCs w:val="22"/>
        </w:rPr>
      </w:pPr>
      <w:r>
        <w:rPr>
          <w:rFonts w:ascii="Arial" w:eastAsia="Arial" w:hAnsi="Arial" w:cs="Arial"/>
          <w:sz w:val="22"/>
          <w:szCs w:val="22"/>
          <w:highlight w:val="white"/>
        </w:rPr>
        <w:t xml:space="preserve">GFP-Expressing Rat Primary Lung Fibroblasts from Cell Biologics are </w:t>
      </w:r>
      <w:r w:rsidR="00623A41">
        <w:rPr>
          <w:rFonts w:ascii="Arial" w:eastAsia="Arial" w:hAnsi="Arial" w:cs="Arial"/>
          <w:sz w:val="22"/>
          <w:szCs w:val="22"/>
        </w:rPr>
        <w:t>isolated from the</w:t>
      </w:r>
      <w:r>
        <w:rPr>
          <w:rFonts w:ascii="Arial" w:eastAsia="Arial" w:hAnsi="Arial" w:cs="Arial"/>
          <w:sz w:val="22"/>
          <w:szCs w:val="22"/>
          <w:highlight w:val="white"/>
        </w:rPr>
        <w:t xml:space="preserve"> Lung </w:t>
      </w:r>
      <w:r w:rsidRPr="006D33A2">
        <w:rPr>
          <w:rFonts w:ascii="Arial" w:eastAsia="Arial" w:hAnsi="Arial" w:cs="Arial"/>
          <w:sz w:val="22"/>
          <w:szCs w:val="22"/>
        </w:rPr>
        <w:t>tissues of</w:t>
      </w:r>
      <w:r>
        <w:rPr>
          <w:rFonts w:ascii="Arial" w:eastAsia="Arial" w:hAnsi="Arial" w:cs="Arial"/>
          <w:sz w:val="22"/>
          <w:szCs w:val="22"/>
          <w:highlight w:val="white"/>
        </w:rPr>
        <w:t xml:space="preserve"> 6-8 week old laboratory Sprague–Dawley rat and grown in gelatin pre-coated tissue culture flask with Cell Biologics’ Complete Growth </w:t>
      </w:r>
      <w:r>
        <w:rPr>
          <w:rFonts w:ascii="Arial" w:eastAsia="Arial" w:hAnsi="Arial" w:cs="Arial"/>
          <w:color w:val="000000"/>
          <w:sz w:val="22"/>
          <w:szCs w:val="22"/>
          <w:highlight w:val="white"/>
        </w:rPr>
        <w:t>Medium</w:t>
      </w:r>
      <w:r>
        <w:rPr>
          <w:rFonts w:ascii="Arial" w:eastAsia="Arial" w:hAnsi="Arial" w:cs="Arial"/>
          <w:sz w:val="22"/>
          <w:szCs w:val="22"/>
          <w:highlight w:val="white"/>
        </w:rPr>
        <w:t>. Cells at passage 2-3 are harvested from flasks and cryo-preserved in vials. Each vial contains 0.5x10</w:t>
      </w:r>
      <w:r>
        <w:rPr>
          <w:rFonts w:ascii="Arial" w:eastAsia="Arial" w:hAnsi="Arial" w:cs="Arial"/>
          <w:sz w:val="22"/>
          <w:szCs w:val="22"/>
          <w:highlight w:val="white"/>
          <w:vertAlign w:val="superscript"/>
        </w:rPr>
        <w:t>6</w:t>
      </w:r>
      <w:r>
        <w:rPr>
          <w:rFonts w:ascii="Arial" w:eastAsia="Arial" w:hAnsi="Arial" w:cs="Arial"/>
          <w:sz w:val="22"/>
          <w:szCs w:val="22"/>
          <w:highlight w:val="white"/>
        </w:rPr>
        <w:t xml:space="preserve"> cells per </w:t>
      </w:r>
      <w:r>
        <w:rPr>
          <w:rFonts w:ascii="Arial" w:eastAsia="Arial" w:hAnsi="Arial" w:cs="Arial"/>
          <w:sz w:val="22"/>
          <w:szCs w:val="22"/>
        </w:rPr>
        <w:t xml:space="preserve">ml and is delivered frozen. GFP-Expressing Rat Primary Lung Fibroblasts are characterized by their spindle morphology and immunofluorescent staining with anti-Vimentin antibody. These cells are negative for bacteria, yeast, fungi, and mycoplasma and can be expanded for 3-5 passages at a split ratio of 1:2 under the cell culture conditions specified by Cell Biologics. Repeated freezing and thawing of cells </w:t>
      </w:r>
      <w:r w:rsidR="00623A41">
        <w:rPr>
          <w:rFonts w:ascii="Arial" w:eastAsia="Arial" w:hAnsi="Arial" w:cs="Arial"/>
          <w:sz w:val="22"/>
          <w:szCs w:val="22"/>
        </w:rPr>
        <w:t>are not recommended</w:t>
      </w:r>
      <w:r>
        <w:rPr>
          <w:rFonts w:ascii="Arial" w:eastAsia="Arial" w:hAnsi="Arial" w:cs="Arial"/>
          <w:sz w:val="22"/>
          <w:szCs w:val="22"/>
        </w:rPr>
        <w:t>.</w:t>
      </w:r>
    </w:p>
    <w:p w:rsidR="00F42B7F" w:rsidRDefault="00F42B7F">
      <w:pPr>
        <w:ind w:left="-720" w:right="-720"/>
        <w:jc w:val="both"/>
        <w:rPr>
          <w:rFonts w:ascii="Arial" w:eastAsia="Arial" w:hAnsi="Arial" w:cs="Arial"/>
          <w:sz w:val="22"/>
          <w:szCs w:val="22"/>
        </w:rPr>
      </w:pPr>
    </w:p>
    <w:p w:rsidR="00F42B7F" w:rsidRDefault="006D33A2">
      <w:pPr>
        <w:ind w:left="-720" w:right="-720"/>
        <w:jc w:val="both"/>
        <w:rPr>
          <w:rFonts w:ascii="Arial" w:eastAsia="Arial" w:hAnsi="Arial" w:cs="Arial"/>
          <w:sz w:val="22"/>
          <w:szCs w:val="22"/>
        </w:rPr>
      </w:pPr>
      <w:r>
        <w:rPr>
          <w:rFonts w:ascii="Arial" w:eastAsia="Arial" w:hAnsi="Arial" w:cs="Arial"/>
          <w:sz w:val="22"/>
          <w:szCs w:val="22"/>
        </w:rPr>
        <w:t>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F42B7F" w:rsidRDefault="00F42B7F">
      <w:pPr>
        <w:ind w:left="-720" w:right="-720"/>
        <w:jc w:val="both"/>
        <w:rPr>
          <w:rFonts w:ascii="Arial" w:eastAsia="Arial" w:hAnsi="Arial" w:cs="Arial"/>
          <w:b/>
          <w:sz w:val="22"/>
          <w:szCs w:val="22"/>
        </w:rPr>
      </w:pPr>
    </w:p>
    <w:p w:rsidR="00F42B7F" w:rsidRDefault="006D33A2">
      <w:pPr>
        <w:ind w:left="-720" w:right="-720"/>
        <w:jc w:val="both"/>
        <w:rPr>
          <w:rFonts w:ascii="Arial" w:eastAsia="Arial" w:hAnsi="Arial" w:cs="Arial"/>
          <w:b/>
          <w:sz w:val="22"/>
          <w:szCs w:val="22"/>
        </w:rPr>
      </w:pPr>
      <w:r>
        <w:rPr>
          <w:rFonts w:ascii="Arial" w:eastAsia="Arial" w:hAnsi="Arial" w:cs="Arial"/>
          <w:b/>
          <w:sz w:val="22"/>
          <w:szCs w:val="22"/>
        </w:rPr>
        <w:t>Storage</w:t>
      </w:r>
    </w:p>
    <w:p w:rsidR="00F42B7F" w:rsidRDefault="006D33A2">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rsidR="00F42B7F" w:rsidRDefault="00F42B7F">
      <w:pPr>
        <w:ind w:left="-720" w:right="-720"/>
        <w:jc w:val="both"/>
        <w:rPr>
          <w:rFonts w:ascii="Arial" w:eastAsia="Arial" w:hAnsi="Arial" w:cs="Arial"/>
          <w:b/>
          <w:sz w:val="22"/>
          <w:szCs w:val="22"/>
        </w:rPr>
      </w:pPr>
    </w:p>
    <w:p w:rsidR="00F42B7F" w:rsidRDefault="006D33A2">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F42B7F" w:rsidRDefault="006D33A2">
      <w:pPr>
        <w:ind w:left="-720" w:right="-720"/>
        <w:jc w:val="both"/>
        <w:rPr>
          <w:rFonts w:ascii="Arial" w:eastAsia="Arial" w:hAnsi="Arial" w:cs="Arial"/>
          <w:sz w:val="22"/>
          <w:szCs w:val="22"/>
        </w:rPr>
      </w:pPr>
      <w:r>
        <w:rPr>
          <w:rFonts w:ascii="Arial" w:eastAsia="Arial" w:hAnsi="Arial" w:cs="Arial"/>
          <w:sz w:val="22"/>
          <w:szCs w:val="22"/>
        </w:rPr>
        <w:t>GFP-Expressing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F42B7F" w:rsidRDefault="00F42B7F">
      <w:pPr>
        <w:ind w:left="-720" w:right="-720"/>
        <w:jc w:val="both"/>
        <w:rPr>
          <w:rFonts w:ascii="Arial" w:eastAsia="Arial" w:hAnsi="Arial" w:cs="Arial"/>
          <w:b/>
          <w:sz w:val="22"/>
          <w:szCs w:val="22"/>
        </w:rPr>
      </w:pPr>
    </w:p>
    <w:p w:rsidR="00F42B7F" w:rsidRDefault="006D33A2">
      <w:pPr>
        <w:ind w:left="-720" w:right="-720"/>
        <w:jc w:val="both"/>
        <w:rPr>
          <w:rFonts w:ascii="Arial" w:eastAsia="Arial" w:hAnsi="Arial" w:cs="Arial"/>
          <w:b/>
          <w:sz w:val="22"/>
          <w:szCs w:val="22"/>
        </w:rPr>
      </w:pPr>
      <w:r>
        <w:rPr>
          <w:rFonts w:ascii="Arial" w:eastAsia="Arial" w:hAnsi="Arial" w:cs="Arial"/>
          <w:b/>
          <w:sz w:val="22"/>
          <w:szCs w:val="22"/>
        </w:rPr>
        <w:t>Disclaimer</w:t>
      </w:r>
    </w:p>
    <w:p w:rsidR="00F42B7F" w:rsidRDefault="006D33A2">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F42B7F" w:rsidRDefault="00F42B7F">
      <w:pPr>
        <w:ind w:right="-720"/>
        <w:jc w:val="both"/>
        <w:rPr>
          <w:rFonts w:ascii="Arial" w:eastAsia="Arial" w:hAnsi="Arial" w:cs="Arial"/>
          <w:b/>
          <w:sz w:val="22"/>
          <w:szCs w:val="22"/>
        </w:rPr>
      </w:pPr>
    </w:p>
    <w:p w:rsidR="00F42B7F" w:rsidRDefault="006D33A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F42B7F" w:rsidRDefault="006D33A2">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F42B7F" w:rsidRDefault="00F42B7F">
      <w:pPr>
        <w:tabs>
          <w:tab w:val="left" w:pos="0"/>
        </w:tabs>
      </w:pPr>
    </w:p>
    <w:sectPr w:rsidR="00F42B7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5803" w:rsidRDefault="006D33A2">
      <w:r>
        <w:separator/>
      </w:r>
    </w:p>
  </w:endnote>
  <w:endnote w:type="continuationSeparator" w:id="0">
    <w:p w:rsidR="00B45803" w:rsidRDefault="006D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B7F" w:rsidRDefault="006D33A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5"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F42B7F" w:rsidRDefault="00F42B7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5803" w:rsidRDefault="006D33A2">
      <w:r>
        <w:separator/>
      </w:r>
    </w:p>
  </w:footnote>
  <w:footnote w:type="continuationSeparator" w:id="0">
    <w:p w:rsidR="00B45803" w:rsidRDefault="006D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B7F" w:rsidRDefault="006D33A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F42B7F" w:rsidRDefault="00F42B7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B7F"/>
    <w:rsid w:val="00623A41"/>
    <w:rsid w:val="006D33A2"/>
    <w:rsid w:val="00B45803"/>
    <w:rsid w:val="00F42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7DD10-9264-4ABB-B872-DE3F0BE5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ZtpvvVCHW3BVMnKibJm70rSxQw==">AMUW2mVSKeI/On9+lolD2NsK62zjZSWdzpNdrLpvu/cdYrDluG5Q8iF2e4/PQdvtzSfaoasg4GvnLQKfHSNBo6MOr74j8VK62voUfQpOH1VyW80CXtwtAgc=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2022-10-20T21:31:00Z</dcterms:created>
  <dcterms:modified xsi:type="dcterms:W3CDTF">2023-03-20T20:29:00Z</dcterms:modified>
</cp:coreProperties>
</file>