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Aortic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RA-6075LS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Lewis Rat Primary Aortic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aortic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6–8-week-old laboratory Lewis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Lewis Rat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YmBzn94prJpTeOAEvO5AfCpD9A==">CgMxLjA4AHIhMTRIWmhjREN1MzJqZ3JzbWM5ZlpuYTVnc255S0dUMmN6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2023-01-12T15:58:00Z</dcterms:created>
  <dc:creator>Jeanne Chang</dc:creator>
</cp:coreProperties>
</file>