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Brain Vascular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C57-6076Cre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CRE-Expressing </w:t>
      </w:r>
      <w:r w:rsidDel="00000000" w:rsidR="00000000" w:rsidRPr="00000000">
        <w:rPr>
          <w:rFonts w:ascii="Arial" w:cs="Arial" w:eastAsia="Arial" w:hAnsi="Arial"/>
          <w:sz w:val="22"/>
          <w:szCs w:val="22"/>
          <w:rtl w:val="0"/>
        </w:rPr>
        <w:t xml:space="preserve">Mouse Primary Brain Vascular Fibroblasts from Cell Biologics are isolated from the brain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Brain Vascular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8gv/kqtbP6BeFcpFG+2z4yUSSw==">CgMxLjA4AHIhMTg0eEJwSVhuV05DMTFxZWJvYmtvUEJzVm5SWGczN2Vl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2023-01-05T16:50:00Z</dcterms:created>
  <dc:creator>Jeanne Chang</dc:creator>
</cp:coreProperties>
</file>