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Mammary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Mammary Fibroblasts from Cell Biologics are isolated from cynomolgus monkey breast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w:t>
      </w:r>
      <w:r w:rsidDel="00000000" w:rsidR="00000000" w:rsidRPr="00000000">
        <w:rPr>
          <w:rFonts w:ascii="Arial" w:cs="Arial" w:eastAsia="Arial" w:hAnsi="Arial"/>
          <w:sz w:val="22"/>
          <w:szCs w:val="22"/>
          <w:rtl w:val="0"/>
        </w:rPr>
        <w:t xml:space="preserve">Cynomolgus Monkey</w:t>
      </w:r>
      <w:r w:rsidDel="00000000" w:rsidR="00000000" w:rsidRPr="00000000">
        <w:rPr>
          <w:rFonts w:ascii="Arial" w:cs="Arial" w:eastAsia="Arial" w:hAnsi="Arial"/>
          <w:sz w:val="22"/>
          <w:szCs w:val="22"/>
          <w:highlight w:val="white"/>
          <w:rtl w:val="0"/>
        </w:rPr>
        <w:t xml:space="preserve"> Primary Mammary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Mammary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Jcwhx3P1+Edco/YScuOcfT6GMw==">CgMxLjA4AHIhMUNWTm1xYkVULTBWTmNfdmREcVNyenN6YmgwMmo3azh0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2023-01-19T16:25:00Z</dcterms:created>
  <dc:creator>Jeanne Chang</dc:creator>
</cp:coreProperties>
</file>