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HD2-6016A.IM.GFP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Artery Fibroblasts from Cell Biologics are isolated from artery kidney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mY3nJuv1e03i7GhbKXvosSsZw==">CgMxLjAyCGguZ2pkZ3hzOAByITFZcTBJQmp1LS1YOXJaVTM4SlpfRjhSZG1RVFFOSUV6Sw==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