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4641850</wp:posOffset>
                </wp:positionH>
                <wp:positionV relativeFrom="paragraph">
                  <wp:posOffset>-171442</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4641850</wp:posOffset>
                </wp:positionH>
                <wp:positionV relativeFrom="paragraph">
                  <wp:posOffset>-171442</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RFP-Expressing Human Primary Lung Tumor-Associated Fibroblasts - Squamous Cell Carcinoma</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HC-6013S.RFP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Lung Tumor-Associated Fibroblasts - Squamous Cell Carcinoma from Cell Biologics are isolated from human lung squamous cell carcinoma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Lung Tumor-Associated Fibroblasts -Squamous Cell Carcinoma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-240018</wp:posOffset>
          </wp:positionV>
          <wp:extent cx="7746285" cy="1028700"/>
          <wp:effectExtent b="0" l="0" r="0" t="0"/>
          <wp:wrapNone/>
          <wp:docPr descr="Background pattern&#10;&#10;Description automatically generated with low confidence" id="4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-3295637</wp:posOffset>
          </wp:positionH>
          <wp:positionV relativeFrom="paragraph">
            <wp:posOffset>-380990</wp:posOffset>
          </wp:positionV>
          <wp:extent cx="7772400" cy="1047750"/>
          <wp:effectExtent b="0" l="0" r="0" t="0"/>
          <wp:wrapNone/>
          <wp:docPr id="3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8Nf1yrRnmKQ5h5BnZVuhaZNmcA==">CgMxLjAyCGguZ2pkZ3hzOAByITFBYkRUcUowMjNqUS1RX2d2ODVHX0VEX0F2bldrRzJDZw==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