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Ovarian Fibroblasts from Cell Biologics are isolated from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Ovarian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b7VS7ds/O0JZqWm+GcUELKwDg==">CgMxLjA4AHIhMUpKRE5ENE5uQU9MbWxBUWYwYUtNdHN3MW0ySDlucFNT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2023-01-12T18:21:00Z</dcterms:created>
  <dc:creator>Jeanne Chang</dc:creator>
</cp:coreProperties>
</file>