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Luciferase-Expressing</w:t>
      </w:r>
      <w:r w:rsidDel="00000000" w:rsidR="00000000" w:rsidRPr="00000000">
        <w:rPr>
          <w:rFonts w:ascii="Arial" w:cs="Arial" w:eastAsia="Arial" w:hAnsi="Arial"/>
          <w:sz w:val="22"/>
          <w:szCs w:val="22"/>
          <w:rtl w:val="0"/>
        </w:rPr>
        <w:t xml:space="preserve"> Rat Primary Proximal Tubular Epithelial Cells from Cell Biologics are isolated from proximal tubular tissues of 6-8 weeks old laboratory Sprague–Dawley rats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Luciferase-Expressing Rat Primary Proximal Tubular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Luciferase-Expressing </w:t>
      </w:r>
      <w:r w:rsidDel="00000000" w:rsidR="00000000" w:rsidRPr="00000000">
        <w:rPr>
          <w:rFonts w:ascii="Arial" w:cs="Arial" w:eastAsia="Arial" w:hAnsi="Arial"/>
          <w:sz w:val="22"/>
          <w:szCs w:val="22"/>
          <w:rtl w:val="0"/>
        </w:rPr>
        <w:t xml:space="preserve">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Q0+mVS+6+4C2Cb60Rm0y880otg==">CgMxLjA4AHIhMUswVjVDMEdtYzkyV21zYUVDcEZqUTVuTHVrMTFEck9S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2022-08-25T19:20:00Z</dcterms:created>
  <dc:creator>Jeanne Chang</dc:creator>
</cp:coreProperties>
</file>