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Thymus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N-6209Cre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Thymus Epithelial Cells from Cell Biologics are isolated from the thymus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Thymus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ppe/txot1kJLtwVcyZTE+ngpaw==">CgMxLjAyCGguZ2pkZ3hzOAByITFMV3FzS29YYUxoUEdVWE5ZUUVfc3BxVy11czhDdUxKag==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2023-03-13T20:21:00Z</dcterms:created>
  <dc:creator>Jeanne Chang</dc:creator>
</cp:coreProperties>
</file>