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Mucosal Epithelial Cells from Cell Biologics are isolated from the mucosal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aGycolwsLKyCAMCpzDp0dm6HA==">CgMxLjAyCGguZ2pkZ3hzOAByITEyNWZDRzRkSmgwU2N1ODltaGlNbWh3aDlXRG9qXy1udg==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