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4673600</wp:posOffset>
                </wp:positionH>
                <wp:positionV relativeFrom="paragraph">
                  <wp:posOffset>-152399</wp:posOffset>
                </wp:positionV>
                <wp:extent cx="1941830" cy="420370"/>
                <wp:effectExtent b="0" l="0" r="0" t="0"/>
                <wp:wrapNone/>
                <wp:docPr id="23"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41830" cy="420370"/>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Luciferase-Expressing Canine Primary Gingival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D-6202Luc</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Gingival Epithelial Cells from Cell Biologics are isolated from the gingival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Luciferase-Expressing Canine Primary Gingival Epithelial Cells are characterized by immunofluorescent staining with ZO-1 antibody. These cells are negative for bacteria, yeast, fungi, and mycoplasma and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 distinct from GFP/RFP photoprotein, is widely used in bioluminescence. Cell Biologics generates various Firefly luciferase-expressing stable cells, including endothelial cells, epithelial cells and so forth. Firefly luciferase-expressing cells are developed through transducing Firefly luciferase-lentiviral particles.</w:t>
      </w:r>
    </w:p>
    <w:p w:rsidR="00000000" w:rsidDel="00000000" w:rsidP="00000000" w:rsidRDefault="00000000" w:rsidRPr="00000000" w14:paraId="0000000D">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Luciferase-Expressing Canine Primary Gingival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-898520</wp:posOffset>
          </wp:positionH>
          <wp:positionV relativeFrom="paragraph">
            <wp:posOffset>-240025</wp:posOffset>
          </wp:positionV>
          <wp:extent cx="7746285" cy="1028700"/>
          <wp:effectExtent b="0" l="0" r="0" t="0"/>
          <wp:wrapNone/>
          <wp:docPr descr="Background pattern&#10;&#10;Description automatically generated with low confidence" id="24"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-3295645</wp:posOffset>
          </wp:positionH>
          <wp:positionV relativeFrom="paragraph">
            <wp:posOffset>-380996</wp:posOffset>
          </wp:positionV>
          <wp:extent cx="7772400" cy="1047750"/>
          <wp:effectExtent b="0" l="0" r="0" t="0"/>
          <wp:wrapNone/>
          <wp:docPr id="25" name="image2.png"/>
          <a:graphic>
            <a:graphicData uri="http://schemas.openxmlformats.org/drawingml/2006/picture">
              <pic:pic>
                <pic:nvPicPr>
                  <pic:cNvPr id="0" name="image2.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Aok/+v5hHieGD61UAa0VWCl68Dg==">CgMxLjAyCGguZ2pkZ3hzOAByITEwZ25tTmVwZjhORUNWdnl0MzhoTmRXMFpWeDRxRUVGeg==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2023-03-13T20:13:00Z</dcterms:created>
  <dc:creator>Jeanne Chang</dc:creator>
</cp:coreProperties>
</file>