
<file path=[Content_Types].xml><?xml version="1.0" encoding="utf-8"?>
<Types xmlns="http://schemas.openxmlformats.org/package/2006/content-types">
  <Default ContentType="application/xml" Extension="xml"/>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4681538</wp:posOffset>
                </wp:positionH>
                <wp:positionV relativeFrom="paragraph">
                  <wp:posOffset>-157160</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Diabetic Mouse Kidney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MD-6034</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M6621 </w:t>
        <w:tab/>
        <w:t xml:space="preserve">Complete Epithelial Cell Medium w/ Kit – 500 ml </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Kidney Epithelial Cells are isolated from the kidney of Diabetic (db/db) mice (000697B6db)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immunofluorescent staining with E-cadherin (Catalog 610182, BD) or ZO-1 (Catalog 617300, Life Technology) antibody.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Cell Biologics' Cell Genotype Promise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has established rigorous genetic quality control and genotyping programs to ensure the normal and genetic background of our cell strains as well as our diseased cell strains with identified diseases (e.g., diabetic cells, hypertentive cells, smoke cells, etc.). Cell Biologics' cell strains are only made available to researchers after meeting our standards. Because it is not possible to fully characterize or capture each cell strain in the cell strain data sheets, we cannot guarantee each cell strain's phenotype will meet all expectations. To ensure that Cell Biologics' cells will meet the needs of individual research projects or when requesting a cell strain that is new to your research, we suggest ordering and performing tests on a small number of cells (1-2 vials) to determine suitability for your particular project.</w:t>
      </w:r>
    </w:p>
    <w:p w:rsidR="00000000" w:rsidDel="00000000" w:rsidP="00000000" w:rsidRDefault="00000000" w:rsidRPr="00000000" w14:paraId="0000000E">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Storage</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1">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Authorized Uses of Cell Biologics’ Products</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Diabetic Mouse Kidney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4">
      <w:pPr>
        <w:ind w:left="-720" w:right="-720" w:firstLine="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5">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Disclaimer</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7">
      <w:pPr>
        <w:ind w:right="-720"/>
        <w:jc w:val="both"/>
        <w:rPr>
          <w:rFonts w:ascii="Arial" w:cs="Arial" w:eastAsia="Arial" w:hAnsi="Arial"/>
          <w:b w:val="1"/>
          <w:bCs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bCs w:val="1"/>
          <w:sz w:val="22"/>
          <w:szCs w:val="22"/>
        </w:rPr>
      </w:pPr>
      <w:r w:rsidDel="00000000" w:rsidR="00000000" w:rsidRPr="00000000">
        <w:rPr>
          <w:rFonts w:ascii="Arial" w:cs="Arial" w:eastAsia="Arial" w:hAnsi="Arial"/>
          <w:b w:val="1"/>
          <w:bCs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-240024</wp:posOffset>
          </wp:positionV>
          <wp:extent cx="7746285" cy="1028700"/>
          <wp:effectExtent b="0" l="0" r="0" t="0"/>
          <wp:wrapNone/>
          <wp:docPr descr="Background pattern&#10;&#10;Description automatically generated with low confidence" id="25"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-380995</wp:posOffset>
          </wp:positionV>
          <wp:extent cx="7772400" cy="1047750"/>
          <wp:effectExtent b="0" l="0" r="0" t="0"/>
          <wp:wrapNone/>
          <wp:docPr id="24"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rPr>
  </w:style>
  <w:style w:type="paragraph" w:styleId="Heading5">
    <w:name w:val="heading 5"/>
    <w:basedOn w:val="Normal"/>
    <w:next w:val="Normal"/>
    <w:pPr>
      <w:keepNext w:val="1"/>
      <w:keepLines w:val="1"/>
      <w:spacing w:after="40" w:before="220" w:lineRule="auto"/>
    </w:pPr>
    <w:rPr>
      <w:b w:val="1"/>
      <w:bCs w:val="1"/>
      <w:sz w:val="22"/>
      <w:szCs w:val="22"/>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Normal" w:default="1">
    <w:name w:val="normal"/>
  </w:style>
  <w:style w:type="table" w:styleId="TableNormal" w:default="1">
    <w:name w:val="TableNormal"/>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PUDMD3xOPBiwZPCQrUBlMuLCT3Q==">CgMxLjA4AHIhMUhLb0JJdWlJMWxia2pfcWFXSW1aYnZERHhWSFV5RVFt</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2022-08-19T21:45:00Z</dcterms:created>
  <dc:creator>Jeanne Chang</dc:creator>
</cp:coreProperties>
</file>