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Tumor Epithelial Cells (Mouse Lung Cancer Origin, </w:t>
      </w:r>
      <w:r w:rsidDel="00000000" w:rsidR="00000000" w:rsidRPr="00000000">
        <w:rPr>
          <w:rFonts w:ascii="Arial" w:cs="Arial" w:eastAsia="Arial" w:hAnsi="Arial"/>
          <w:b w:val="1"/>
          <w:sz w:val="22"/>
          <w:szCs w:val="22"/>
          <w:rtl w:val="0"/>
        </w:rPr>
        <w:t xml:space="preserve">MTLUEC.M</w:t>
      </w:r>
      <w:r w:rsidDel="00000000" w:rsidR="00000000" w:rsidRPr="00000000">
        <w:rPr>
          <w:rFonts w:ascii="Arial" w:cs="Arial" w:eastAsia="Arial" w:hAnsi="Arial"/>
          <w:b w:val="1"/>
          <w:sz w:val="22"/>
          <w:szCs w:val="22"/>
          <w:highlight w:val="white"/>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MC-6053m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Mouse Tumor Epithelial Cells (Mouse Lung Cancer Origin, MTLUEC.M) from Cell Biologics were isolated from human xenograft of pathogen-free laboratory nude mice. Mouse Lewis Lung Cancer Cells are subcutaneously injected into the nude mice, and after 4-6 weeks tumor tissues are removed for cell culture. </w:t>
      </w:r>
      <w:r w:rsidDel="00000000" w:rsidR="00000000" w:rsidRPr="00000000">
        <w:rPr>
          <w:rFonts w:ascii="Arial" w:cs="Arial" w:eastAsia="Arial" w:hAnsi="Arial"/>
          <w:sz w:val="22"/>
          <w:szCs w:val="22"/>
          <w:highlight w:val="yellow"/>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These cells are characterized by immunofluorescence staining with E-cadherin (Catalog 610182, BD) or ZO-1 (Catalog 617300, Life Technology) antibodies. The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J244ml1TTmy1mMbiqst28D0JQ==">CgMxLjA4AHIhMXlLZWlKLW9sWHowWEtrbVlSeTF0aGdCZnk0bGc2OHIz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2023-02-07T00:27:00Z</dcterms:created>
  <dc:creator>Jeanne Chang</dc:creator>
</cp:coreProperties>
</file>