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K57-6033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BKS db Control Mouse Corneal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corneal </w:t>
      </w:r>
      <w:r w:rsidDel="00000000" w:rsidR="00000000" w:rsidRPr="00000000">
        <w:rPr>
          <w:rFonts w:ascii="Arial" w:cs="Arial" w:eastAsia="Arial" w:hAnsi="Arial"/>
          <w:sz w:val="22"/>
          <w:szCs w:val="22"/>
          <w:rtl w:val="0"/>
        </w:rPr>
        <w:t xml:space="preserve">of C57BLKS/J (00662) pathogen-free laboratory mice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Corneal Epithelial Cells </w:t>
      </w:r>
      <w:r w:rsidDel="00000000" w:rsidR="00000000" w:rsidRPr="00000000">
        <w:rPr>
          <w:rFonts w:ascii="Arial" w:cs="Arial" w:eastAsia="Arial" w:hAnsi="Arial"/>
          <w:sz w:val="22"/>
          <w:szCs w:val="22"/>
          <w:rtl w:val="0"/>
        </w:rPr>
        <w:t xml:space="preserve">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IwnGiajZekdWW6qg7Qwhp1oKBQ==">CgMxLjA4AHIhMU1JV29zSUJPN2M3Nk03dkltemw5UDBvR05jU1U1a01B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2022-08-19T21:39:00Z</dcterms:created>
  <dc:creator>Jeanne Chang</dc:creator>
</cp:coreProperties>
</file>