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Prostate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prostate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m9sNZB8dUj65loVBJ/uw1Opdg==">CgMxLjA4AHIhMWV2QkFxWkNQaHhEV1RHdngySGJKRmJwWWh2SGhFM0hl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2022-08-23T17:06:00Z</dcterms:created>
  <dc:creator>Jeanne Chang</dc:creator>
</cp:coreProperties>
</file>