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C57-6209Luc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Thymus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Thymus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Thymus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FmwiVNYP+ciNGOzerNykOv/bug==">CgMxLjA4AHIhMVRqWHMwOGVGdlI3R3VhZWNzdFpKUzdfTVAxSDZSZmxZ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2023-01-09T21:45:00Z</dcterms:created>
  <dc:creator>Jeanne Chang</dc:creator>
</cp:coreProperties>
</file>