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Proximal Tubular Epithelial Cells from Cell Biologics are isolated from the</w:t>
      </w:r>
      <w:r w:rsidDel="00000000" w:rsidR="00000000" w:rsidRPr="00000000">
        <w:rPr>
          <w:rFonts w:ascii="Arial" w:cs="Arial" w:eastAsia="Arial" w:hAnsi="Arial"/>
          <w:sz w:val="22"/>
          <w:szCs w:val="22"/>
          <w:rtl w:val="0"/>
        </w:rPr>
        <w:t xml:space="preserve"> proximal tubular tissues</w:t>
      </w:r>
      <w:r w:rsidDel="00000000" w:rsidR="00000000" w:rsidRPr="00000000">
        <w:rPr>
          <w:rFonts w:ascii="Arial" w:cs="Arial" w:eastAsia="Arial" w:hAnsi="Arial"/>
          <w:sz w:val="22"/>
          <w:szCs w:val="22"/>
          <w:rtl w:val="0"/>
        </w:rPr>
        <w:t xml:space="preserve"> of pathogen-free laboratory C57BL/6 mice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8/cJwDnPQy7VhwAnzHykn8giA==">CgMxLjA4AHIhMS1MTHllVGNiTDk3SGxQVldVRWo2cHBVWDNodnVTZ3ZS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2022-08-24T21:09:00Z</dcterms:created>
  <dc:creator>Jeanne Chang</dc:creator>
</cp:coreProperties>
</file>