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1"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Mouse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highlight w:val="white"/>
          <w:rtl w:val="0"/>
        </w:rPr>
        <w:t xml:space="preserve">Product Description</w:t>
      </w:r>
      <w:r w:rsidDel="00000000" w:rsidR="00000000" w:rsidRPr="00000000">
        <w:rPr>
          <w:rtl w:val="0"/>
        </w:rPr>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Tracheal Epithelial Cells from Cell Biologics are isolated from the tracheal tissue of pathogen-free laboratory C57BL/6 mice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Tracheal Epithelial Cells are characterized by immunofluorescent staining with E-cadherin (Catalog 610182, BD) or ZO-1 (Catalog 617300, Life Technology)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qpuW3HiWDaQKo5vekAII3uKfjA==">CgMxLjA4AHIhMTZGaHozcDJjYnhNSW9sTGt3TEdYRHU1Z1RENlpuNTJM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2022-08-24T21:12:00Z</dcterms:created>
  <dc:creator>Jeanne Chang</dc:creator>
</cp:coreProperties>
</file>