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Corneal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corneal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Corneal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HM2A6gnbByRkT0pVSO9jf/dgVg==">CgMxLjA4AHIhMWtyc2FyZUZnRVU4dWFqUnlHS0NJc2oyU09tVGVHQ1pY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2022-08-23T17:00:00Z</dcterms:created>
  <dc:creator>Jeanne Chang</dc:creator>
</cp:coreProperties>
</file>