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Prostate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prostate</w:t>
      </w:r>
      <w:r w:rsidDel="00000000" w:rsidR="00000000" w:rsidRPr="00000000">
        <w:rPr>
          <w:rFonts w:ascii="Arial" w:cs="Arial" w:eastAsia="Arial" w:hAnsi="Arial"/>
          <w:sz w:val="22"/>
          <w:szCs w:val="22"/>
          <w:highlight w:val="white"/>
          <w:rtl w:val="0"/>
        </w:rPr>
        <w:t xml:space="preserve">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Prostate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a9vblqnWnDyowDoZ0I1SKMrt0g==">CgMxLjA4AHIhMUV1QllvUS1BT2NTdlI1MDIxZUItM0xHUVpfc3UzcnZs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2022-08-23T16:45:00Z</dcterms:created>
  <dc:creator>Jeanne Chang</dc:creator>
</cp:coreProperties>
</file>