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Colonic Epithelial Cells from Cell Biologics are isolated colonic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Colonic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sPr11m8PeBZ1i4vujdYuWTko9A==">CgMxLjA4AHIhMWNpM3hONFBlTGl5eHRDMVl6bHplTE5PdERySDR4Y0tH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2022-08-24T21:36:00Z</dcterms:created>
  <dc:creator>Jeanne Chang</dc:creator>
</cp:coreProperties>
</file>