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Liver Epithelial Cells from Cell Biologics are isolated from Cynomolgus Monkey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Liver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Liver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qMxKGLw4/IdtN2Q43n4zGEXjA==">CgMxLjA4AHIhMWE3ZUtlbWk0czI0bWdCdU1CRUZDOTd2eTBScDVSUkVy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2022-08-24T16:55:00Z</dcterms:created>
  <dc:creator>Jeanne Chang</dc:creator>
</cp:coreProperties>
</file>