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4699000</wp:posOffset>
                </wp:positionH>
                <wp:positionV relativeFrom="paragraph">
                  <wp:posOffset>-152399</wp:posOffset>
                </wp:positionV>
                <wp:extent cx="1922780" cy="401320"/>
                <wp:effectExtent b="0" l="0" r="0" t="0"/>
                <wp:wrapNone/>
                <wp:docPr id="17"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4699000</wp:posOffset>
                </wp:positionH>
                <wp:positionV relativeFrom="paragraph">
                  <wp:posOffset>-152399</wp:posOffset>
                </wp:positionV>
                <wp:extent cx="1922780" cy="401320"/>
                <wp:effectExtent b="0" l="0" r="0" t="0"/>
                <wp:wrapNone/>
                <wp:docPr id="17"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22780" cy="40132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GFP Expressing Monkey Primary Prostate Epithelial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MK-6038GFP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H6621</w:t>
        <w:tab/>
        <w:tab/>
        <w:t xml:space="preserve">Complete Epithelial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GFP Expressing Monkey Primary Prostate Epithelial Cells from Cell Biologics are isolated from Monkey prostate tissue and grown in gelatin pre-coated tissue culture flasks with Cell Biologics’ Complete Growth Medium.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GFP Expressing Monkey Primary Prostate Epithelial Cells from Cell Biologics are characterized by immunofluorescent staining with E-cadherin (Catalog No. 610182 from BD) or ZO-1 (Catalog No. 617300; from Life Technologies) antibodies. These cells are negative for mycoplasma, bacteria, yeast, fungi, HIV-1, hepatitis B and hepatitis C and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The green fluorescent protein (GFP) gives rise to very bright green fluorescence when exposed to blue light. Cell Biologics generates various GFP-expressing stable cells, including endothelial cells, epithelial cells and so forth. GFP-expressing cells are developed through transducing GFP-lentiviral particles.</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GFP Expressing Monkey Primary Prostate Epithelial Cells from Cell Biologics are distributed for research purposes only. Our products are not authorized for human or monkey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Investigators should handle the cells received from Cell Biologics with caution and treat all primary cells as potential pathogens, since no test procedure can completely guarantee the absence of infectious agents. The entire text of discussing Biosafety in Microbiological and Biomedical Laboratories, 5th ed. is available online at http://www.cdc.gov/biosafety/publications/bmbl5/index.htm.</w:t>
      </w: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-898523</wp:posOffset>
          </wp:positionH>
          <wp:positionV relativeFrom="paragraph">
            <wp:posOffset>-240027</wp:posOffset>
          </wp:positionV>
          <wp:extent cx="7746285" cy="1028700"/>
          <wp:effectExtent b="0" l="0" r="0" t="0"/>
          <wp:wrapNone/>
          <wp:docPr descr="Background pattern&#10;&#10;Description automatically generated with low confidence" id="18"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-3295648</wp:posOffset>
          </wp:positionH>
          <wp:positionV relativeFrom="paragraph">
            <wp:posOffset>-380998</wp:posOffset>
          </wp:positionV>
          <wp:extent cx="7772400" cy="1047750"/>
          <wp:effectExtent b="0" l="0" r="0" t="0"/>
          <wp:wrapNone/>
          <wp:docPr id="19" name="image2.png"/>
          <a:graphic>
            <a:graphicData uri="http://schemas.openxmlformats.org/drawingml/2006/picture">
              <pic:pic>
                <pic:nvPicPr>
                  <pic:cNvPr id="0" name="image2.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AAEXmKQkqwgs38l0Jxo91yq5B+w==">CgMxLjA4AHIhMVZ0MW9PUjFycmpacXhTR2MwOEJaeV9QVGVhbjBGSXpB</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2022-08-24T16:31:00Z</dcterms:created>
  <dc:creator>Jeanne Chang</dc:creator>
</cp:coreProperties>
</file>