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Immortalized RFP-Expressing Human Primary Proximal Diabetic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H-6015IM.RFP</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w:t>
      </w:r>
      <w:r w:rsidDel="00000000" w:rsidR="00000000" w:rsidRPr="00000000">
        <w:rPr>
          <w:rFonts w:ascii="Arial" w:cs="Arial" w:eastAsia="Arial" w:hAnsi="Arial"/>
          <w:b w:val="1"/>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Human Primary Proximal Diabetic Tubular Epithelial Cells from Cell Biologics are isolated from human proximal tubular </w:t>
      </w:r>
      <w:r w:rsidDel="00000000" w:rsidR="00000000" w:rsidRPr="00000000">
        <w:rPr>
          <w:rFonts w:ascii="Arial" w:cs="Arial" w:eastAsia="Arial" w:hAnsi="Arial"/>
          <w:sz w:val="22"/>
          <w:szCs w:val="22"/>
          <w:rtl w:val="0"/>
        </w:rPr>
        <w:t xml:space="preserve">tissue </w:t>
      </w:r>
      <w:r w:rsidDel="00000000" w:rsidR="00000000" w:rsidRPr="00000000">
        <w:rPr>
          <w:rFonts w:ascii="Arial" w:cs="Arial" w:eastAsia="Arial" w:hAnsi="Arial"/>
          <w:sz w:val="22"/>
          <w:szCs w:val="22"/>
          <w:highlight w:val="white"/>
          <w:rtl w:val="0"/>
        </w:rPr>
        <w:t xml:space="preserve">of human donors that have been diagnosed with diabetes type II disease. Cells are grown in gelatin pre-coated tissue culture flasks with Cell Biologics’ Complete Growth Medium. Cel</w:t>
      </w:r>
      <w:r w:rsidDel="00000000" w:rsidR="00000000" w:rsidRPr="00000000">
        <w:rPr>
          <w:rFonts w:ascii="Arial" w:cs="Arial" w:eastAsia="Arial" w:hAnsi="Arial"/>
          <w:sz w:val="22"/>
          <w:szCs w:val="22"/>
          <w:rtl w:val="0"/>
        </w:rPr>
        <w:t xml:space="preserve">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more than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w:t>
      </w:r>
      <w:r w:rsidDel="00000000" w:rsidR="00000000" w:rsidRPr="00000000">
        <w:rPr>
          <w:rFonts w:ascii="Arial" w:cs="Arial" w:eastAsia="Arial" w:hAnsi="Arial"/>
          <w:sz w:val="22"/>
          <w:szCs w:val="22"/>
          <w:highlight w:val="white"/>
          <w:rtl w:val="0"/>
        </w:rPr>
        <w:t xml:space="preserve">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 -Expressing Human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zAvk/iE0KQSojdtxtEnKbRbQhg==">CgMxLjAyCGguZ2pkZ3hzOAByITFPNmdxWHpNQWlnMExZTC1aMWdjUTRRZDc0dkNqSXdrdQ==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2022-08-24T14:20:00Z</dcterms:created>
  <dc:creator>Jeanne Chang</dc:creator>
</cp:coreProperties>
</file>