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Liver Sinusoidal Endothelial Cells from Cell Biologics are isolated from the liver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FIYq5IxVZV+pKP5bvWSBUOQXTg==">CgMxLjA4AHIhMUlRbEpZNXl5RmRoQU13YUt6YzNzYTFEZzVtMlh1Mzkt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2022-12-08T20:48:00Z</dcterms:created>
  <dc:creator>Jeanne Chang</dc:creator>
</cp:coreProperties>
</file>